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W w:w="0" w:type="auto"/>
        <w:tblLook w:val="04A0" w:firstRow="1" w:lastRow="0" w:firstColumn="1" w:lastColumn="0" w:noHBand="0" w:noVBand="1"/>
      </w:tblPr>
      <w:tblGrid>
        <w:gridCol w:w="4390"/>
        <w:gridCol w:w="5239"/>
      </w:tblGrid>
      <w:tr w:rsidR="007F3C2B" w:rsidRPr="007F3C2B" w14:paraId="031F3802" w14:textId="713D9C26" w:rsidTr="001019A8">
        <w:tc>
          <w:tcPr>
            <w:tcW w:w="4390" w:type="dxa"/>
            <w:tcBorders>
              <w:top w:val="nil"/>
              <w:left w:val="nil"/>
              <w:bottom w:val="nil"/>
              <w:right w:val="nil"/>
            </w:tcBorders>
          </w:tcPr>
          <w:p w14:paraId="3C086B2D" w14:textId="3856B28B" w:rsidR="007F3C2B" w:rsidRDefault="007F3C2B" w:rsidP="00FF5149">
            <w:pPr>
              <w:tabs>
                <w:tab w:val="left" w:pos="4111"/>
              </w:tabs>
            </w:pPr>
          </w:p>
          <w:p w14:paraId="1C1C4211" w14:textId="735B8413" w:rsidR="007F3C2B" w:rsidRPr="007F3C2B" w:rsidRDefault="007F3C2B" w:rsidP="00FF5149">
            <w:pPr>
              <w:tabs>
                <w:tab w:val="left" w:pos="4111"/>
              </w:tabs>
            </w:pPr>
            <w:r w:rsidRPr="007F3C2B">
              <w:t xml:space="preserve">    </w:t>
            </w:r>
          </w:p>
        </w:tc>
        <w:tc>
          <w:tcPr>
            <w:tcW w:w="5239" w:type="dxa"/>
            <w:tcBorders>
              <w:top w:val="nil"/>
              <w:left w:val="nil"/>
              <w:bottom w:val="nil"/>
              <w:right w:val="nil"/>
            </w:tcBorders>
          </w:tcPr>
          <w:p w14:paraId="0F5E0EFE" w14:textId="79911066" w:rsidR="007F3C2B" w:rsidRPr="00475341" w:rsidRDefault="00C64F1F" w:rsidP="00B438E4">
            <w:pPr>
              <w:tabs>
                <w:tab w:val="left" w:pos="4111"/>
              </w:tabs>
              <w:rPr>
                <w:rFonts w:ascii="Times New Roman" w:hAnsi="Times New Roman" w:cs="Times New Roman"/>
                <w:b/>
                <w:bCs/>
                <w:i/>
                <w:iCs/>
                <w:sz w:val="24"/>
                <w:szCs w:val="24"/>
                <w:lang w:val="ru-RU"/>
              </w:rPr>
            </w:pPr>
            <w:r w:rsidRPr="006D7167">
              <w:rPr>
                <w:rFonts w:ascii="Times New Roman" w:hAnsi="Times New Roman" w:cs="Times New Roman"/>
                <w:b/>
                <w:bCs/>
                <w:i/>
                <w:iCs/>
                <w:sz w:val="24"/>
                <w:szCs w:val="24"/>
              </w:rPr>
              <w:t xml:space="preserve">Додаток </w:t>
            </w:r>
            <w:r w:rsidR="00475341">
              <w:rPr>
                <w:rFonts w:ascii="Times New Roman" w:hAnsi="Times New Roman" w:cs="Times New Roman"/>
                <w:b/>
                <w:bCs/>
                <w:i/>
                <w:iCs/>
                <w:sz w:val="24"/>
                <w:szCs w:val="24"/>
                <w:lang w:val="ru-RU"/>
              </w:rPr>
              <w:t>2</w:t>
            </w:r>
          </w:p>
          <w:p w14:paraId="52A2AE7D" w14:textId="49378C34" w:rsidR="00534032" w:rsidRPr="006D7167" w:rsidRDefault="001B163C" w:rsidP="00B438E4">
            <w:pPr>
              <w:tabs>
                <w:tab w:val="left" w:pos="4111"/>
              </w:tabs>
              <w:rPr>
                <w:rFonts w:ascii="Times New Roman" w:hAnsi="Times New Roman" w:cs="Times New Roman"/>
                <w:i/>
                <w:iCs/>
                <w:sz w:val="24"/>
                <w:szCs w:val="24"/>
              </w:rPr>
            </w:pPr>
            <w:r w:rsidRPr="006D7167">
              <w:rPr>
                <w:rFonts w:ascii="Times New Roman" w:hAnsi="Times New Roman" w:cs="Times New Roman"/>
                <w:i/>
                <w:iCs/>
                <w:sz w:val="24"/>
                <w:szCs w:val="24"/>
              </w:rPr>
              <w:t>д</w:t>
            </w:r>
            <w:r w:rsidR="00534032" w:rsidRPr="006D7167">
              <w:rPr>
                <w:rFonts w:ascii="Times New Roman" w:hAnsi="Times New Roman" w:cs="Times New Roman"/>
                <w:i/>
                <w:iCs/>
                <w:sz w:val="24"/>
                <w:szCs w:val="24"/>
              </w:rPr>
              <w:t>о договору про постачання електричної енергії споживачу</w:t>
            </w:r>
          </w:p>
          <w:p w14:paraId="35EE83C5" w14:textId="36E22F7E" w:rsidR="00534032" w:rsidRPr="006D7167" w:rsidRDefault="00534032" w:rsidP="00B438E4">
            <w:pPr>
              <w:tabs>
                <w:tab w:val="left" w:pos="4111"/>
              </w:tabs>
              <w:rPr>
                <w:rFonts w:ascii="Times New Roman" w:hAnsi="Times New Roman" w:cs="Times New Roman"/>
                <w:b/>
                <w:bCs/>
                <w:sz w:val="24"/>
                <w:szCs w:val="24"/>
              </w:rPr>
            </w:pPr>
            <w:r w:rsidRPr="006D7167">
              <w:rPr>
                <w:rFonts w:ascii="Times New Roman" w:hAnsi="Times New Roman" w:cs="Times New Roman"/>
                <w:b/>
                <w:bCs/>
                <w:sz w:val="24"/>
                <w:szCs w:val="24"/>
              </w:rPr>
              <w:t>Комерційна пропозиція №</w:t>
            </w:r>
            <w:r w:rsidR="00E975BF">
              <w:rPr>
                <w:rFonts w:ascii="Times New Roman" w:hAnsi="Times New Roman" w:cs="Times New Roman"/>
                <w:b/>
                <w:bCs/>
                <w:sz w:val="24"/>
                <w:szCs w:val="24"/>
              </w:rPr>
              <w:t>1</w:t>
            </w:r>
            <w:r w:rsidR="00084EA9" w:rsidRPr="006D7167">
              <w:rPr>
                <w:rFonts w:ascii="Times New Roman" w:hAnsi="Times New Roman" w:cs="Times New Roman"/>
                <w:b/>
                <w:bCs/>
                <w:sz w:val="24"/>
                <w:szCs w:val="24"/>
              </w:rPr>
              <w:t xml:space="preserve"> </w:t>
            </w:r>
            <w:r w:rsidR="00D555A3" w:rsidRPr="006D7167">
              <w:rPr>
                <w:rFonts w:ascii="Times New Roman" w:hAnsi="Times New Roman" w:cs="Times New Roman"/>
                <w:b/>
                <w:bCs/>
                <w:sz w:val="24"/>
                <w:szCs w:val="24"/>
              </w:rPr>
              <w:br/>
            </w:r>
            <w:r w:rsidR="00084EA9" w:rsidRPr="006D7167">
              <w:rPr>
                <w:rFonts w:ascii="Times New Roman" w:hAnsi="Times New Roman" w:cs="Times New Roman"/>
                <w:b/>
                <w:bCs/>
                <w:sz w:val="24"/>
                <w:szCs w:val="24"/>
              </w:rPr>
              <w:t>«</w:t>
            </w:r>
            <w:r w:rsidR="00E975BF">
              <w:rPr>
                <w:rFonts w:ascii="Times New Roman" w:hAnsi="Times New Roman" w:cs="Times New Roman"/>
                <w:b/>
                <w:bCs/>
                <w:sz w:val="24"/>
                <w:szCs w:val="24"/>
              </w:rPr>
              <w:t>Вигідна</w:t>
            </w:r>
            <w:r w:rsidR="00084EA9" w:rsidRPr="006D7167">
              <w:rPr>
                <w:rFonts w:ascii="Times New Roman" w:hAnsi="Times New Roman" w:cs="Times New Roman"/>
                <w:b/>
                <w:bCs/>
                <w:sz w:val="24"/>
                <w:szCs w:val="24"/>
              </w:rPr>
              <w:t>»</w:t>
            </w:r>
          </w:p>
          <w:p w14:paraId="26E5D057" w14:textId="6F6835FA" w:rsidR="001B163C" w:rsidRPr="006D7167" w:rsidRDefault="001B163C" w:rsidP="00B438E4">
            <w:pPr>
              <w:tabs>
                <w:tab w:val="left" w:pos="4111"/>
              </w:tabs>
              <w:rPr>
                <w:rFonts w:ascii="Times New Roman" w:hAnsi="Times New Roman" w:cs="Times New Roman"/>
                <w:i/>
                <w:iCs/>
                <w:sz w:val="24"/>
                <w:szCs w:val="24"/>
              </w:rPr>
            </w:pPr>
            <w:r w:rsidRPr="006D7167">
              <w:rPr>
                <w:rFonts w:ascii="Times New Roman" w:hAnsi="Times New Roman" w:cs="Times New Roman"/>
                <w:i/>
                <w:iCs/>
                <w:sz w:val="24"/>
                <w:szCs w:val="24"/>
              </w:rPr>
              <w:t>для споживачів з</w:t>
            </w:r>
          </w:p>
          <w:p w14:paraId="597651CD" w14:textId="77777777" w:rsidR="001B163C" w:rsidRPr="006D7167" w:rsidRDefault="001B163C" w:rsidP="00B438E4">
            <w:pPr>
              <w:tabs>
                <w:tab w:val="left" w:pos="4111"/>
              </w:tabs>
              <w:rPr>
                <w:rFonts w:ascii="Times New Roman" w:hAnsi="Times New Roman" w:cs="Times New Roman"/>
                <w:i/>
                <w:iCs/>
                <w:sz w:val="24"/>
                <w:szCs w:val="24"/>
              </w:rPr>
            </w:pPr>
            <w:r w:rsidRPr="006D7167">
              <w:rPr>
                <w:rFonts w:ascii="Times New Roman" w:hAnsi="Times New Roman" w:cs="Times New Roman"/>
                <w:i/>
                <w:iCs/>
                <w:sz w:val="24"/>
                <w:szCs w:val="24"/>
              </w:rPr>
              <w:t>середньомісячним обсягом споживання</w:t>
            </w:r>
          </w:p>
          <w:p w14:paraId="2B2D0828" w14:textId="6F92C906" w:rsidR="001B163C" w:rsidRPr="006D7167" w:rsidRDefault="001B163C" w:rsidP="00B438E4">
            <w:pPr>
              <w:tabs>
                <w:tab w:val="left" w:pos="4111"/>
              </w:tabs>
              <w:rPr>
                <w:rFonts w:ascii="Times New Roman" w:hAnsi="Times New Roman" w:cs="Times New Roman"/>
                <w:i/>
                <w:iCs/>
                <w:sz w:val="24"/>
                <w:szCs w:val="24"/>
              </w:rPr>
            </w:pPr>
            <w:r w:rsidRPr="006D7167">
              <w:rPr>
                <w:rFonts w:ascii="Times New Roman" w:hAnsi="Times New Roman" w:cs="Times New Roman"/>
                <w:i/>
                <w:iCs/>
                <w:sz w:val="24"/>
                <w:szCs w:val="24"/>
              </w:rPr>
              <w:t xml:space="preserve">електричної енергії по </w:t>
            </w:r>
            <w:r w:rsidR="00E975BF">
              <w:rPr>
                <w:rFonts w:ascii="Times New Roman" w:hAnsi="Times New Roman" w:cs="Times New Roman"/>
                <w:i/>
                <w:iCs/>
                <w:sz w:val="24"/>
                <w:szCs w:val="24"/>
              </w:rPr>
              <w:t>майданчи</w:t>
            </w:r>
            <w:r w:rsidRPr="006D7167">
              <w:rPr>
                <w:rFonts w:ascii="Times New Roman" w:hAnsi="Times New Roman" w:cs="Times New Roman"/>
                <w:i/>
                <w:iCs/>
                <w:sz w:val="24"/>
                <w:szCs w:val="24"/>
              </w:rPr>
              <w:t>ках</w:t>
            </w:r>
          </w:p>
          <w:p w14:paraId="639C54F0" w14:textId="671E67BE" w:rsidR="00084EA9" w:rsidRPr="007F3C2B" w:rsidRDefault="001B163C" w:rsidP="00B438E4">
            <w:pPr>
              <w:tabs>
                <w:tab w:val="left" w:pos="4111"/>
              </w:tabs>
            </w:pPr>
            <w:r w:rsidRPr="006D7167">
              <w:rPr>
                <w:rFonts w:ascii="Times New Roman" w:hAnsi="Times New Roman" w:cs="Times New Roman"/>
                <w:i/>
                <w:iCs/>
                <w:sz w:val="24"/>
                <w:szCs w:val="24"/>
              </w:rPr>
              <w:t xml:space="preserve">комерційного обліку від </w:t>
            </w:r>
            <w:r w:rsidRPr="2C96D0E1">
              <w:rPr>
                <w:rFonts w:ascii="Times New Roman" w:hAnsi="Times New Roman" w:cs="Times New Roman"/>
                <w:i/>
                <w:iCs/>
                <w:sz w:val="24"/>
                <w:szCs w:val="24"/>
              </w:rPr>
              <w:t>5</w:t>
            </w:r>
            <w:r w:rsidRPr="006D7167">
              <w:rPr>
                <w:rFonts w:ascii="Times New Roman" w:hAnsi="Times New Roman" w:cs="Times New Roman"/>
                <w:i/>
                <w:iCs/>
                <w:sz w:val="24"/>
                <w:szCs w:val="24"/>
              </w:rPr>
              <w:t xml:space="preserve"> 000 </w:t>
            </w:r>
            <w:r w:rsidRPr="2C96D0E1">
              <w:rPr>
                <w:rFonts w:ascii="Times New Roman" w:hAnsi="Times New Roman" w:cs="Times New Roman"/>
                <w:i/>
                <w:iCs/>
                <w:sz w:val="24"/>
                <w:szCs w:val="24"/>
              </w:rPr>
              <w:t xml:space="preserve">000 </w:t>
            </w:r>
            <w:r w:rsidRPr="006D7167">
              <w:rPr>
                <w:rFonts w:ascii="Times New Roman" w:hAnsi="Times New Roman" w:cs="Times New Roman"/>
                <w:i/>
                <w:iCs/>
                <w:sz w:val="24"/>
                <w:szCs w:val="24"/>
              </w:rPr>
              <w:t>кВт*год</w:t>
            </w:r>
          </w:p>
        </w:tc>
      </w:tr>
    </w:tbl>
    <w:p w14:paraId="13BD545E" w14:textId="5911D4C4" w:rsidR="00E02BEE" w:rsidRDefault="00E02BEE" w:rsidP="007F3C2B"/>
    <w:p w14:paraId="1AD2C210" w14:textId="5B11AB0B" w:rsidR="00D555A3" w:rsidRDefault="001019A8" w:rsidP="006D7167">
      <w:pPr>
        <w:ind w:firstLine="567"/>
        <w:jc w:val="both"/>
        <w:rPr>
          <w:rFonts w:ascii="Times New Roman" w:hAnsi="Times New Roman" w:cs="Times New Roman"/>
          <w:sz w:val="24"/>
          <w:szCs w:val="24"/>
        </w:rPr>
      </w:pPr>
      <w:r w:rsidRPr="006D7167">
        <w:rPr>
          <w:rFonts w:ascii="Times New Roman" w:hAnsi="Times New Roman" w:cs="Times New Roman"/>
          <w:sz w:val="24"/>
          <w:szCs w:val="24"/>
        </w:rPr>
        <w:t>Комерційна пропозиція ТОВ «</w:t>
      </w:r>
      <w:r w:rsidR="00E975BF">
        <w:rPr>
          <w:rFonts w:ascii="Times New Roman" w:hAnsi="Times New Roman" w:cs="Times New Roman"/>
          <w:sz w:val="24"/>
          <w:szCs w:val="24"/>
        </w:rPr>
        <w:t>ЕСУ</w:t>
      </w:r>
      <w:r w:rsidRPr="006D7167">
        <w:rPr>
          <w:rFonts w:ascii="Times New Roman" w:hAnsi="Times New Roman" w:cs="Times New Roman"/>
          <w:sz w:val="24"/>
          <w:szCs w:val="24"/>
        </w:rPr>
        <w:t>» розроблена відповідно до Закону України «Про ринок електричної енергії» та Правил роздрібного ринку електричної енергії, затверджених Постановою НКРЕКП від 14.03.2018 №312 (далі – ПРРЕЕ), із змінами та доповненнями.</w:t>
      </w:r>
    </w:p>
    <w:p w14:paraId="70F2DE9C" w14:textId="26DE9F6C" w:rsidR="000073F1" w:rsidRPr="00B06199" w:rsidRDefault="79EB8AE9" w:rsidP="00CD02E6">
      <w:pPr>
        <w:spacing w:line="240" w:lineRule="auto"/>
        <w:ind w:firstLine="567"/>
        <w:jc w:val="both"/>
        <w:rPr>
          <w:rFonts w:ascii="Times New Roman" w:hAnsi="Times New Roman" w:cs="Times New Roman"/>
          <w:sz w:val="24"/>
          <w:szCs w:val="24"/>
        </w:rPr>
      </w:pPr>
      <w:r w:rsidRPr="78B9B957">
        <w:rPr>
          <w:rFonts w:ascii="Times New Roman" w:hAnsi="Times New Roman" w:cs="Times New Roman"/>
          <w:sz w:val="24"/>
          <w:szCs w:val="24"/>
        </w:rPr>
        <w:t xml:space="preserve"> </w:t>
      </w:r>
      <w:r w:rsidR="751E15EE" w:rsidRPr="78B9B957">
        <w:rPr>
          <w:rFonts w:ascii="Times New Roman" w:hAnsi="Times New Roman" w:cs="Times New Roman"/>
          <w:sz w:val="24"/>
          <w:szCs w:val="24"/>
        </w:rPr>
        <w:t xml:space="preserve">Критерії, яким має відповідати споживач для обрання цієї комерційної пропозиції: </w:t>
      </w:r>
    </w:p>
    <w:p w14:paraId="4D2D449F" w14:textId="77777777" w:rsidR="00CB2966" w:rsidRDefault="000073F1" w:rsidP="00CB2966">
      <w:pPr>
        <w:pStyle w:val="a7"/>
        <w:numPr>
          <w:ilvl w:val="0"/>
          <w:numId w:val="2"/>
        </w:numPr>
        <w:spacing w:line="240" w:lineRule="auto"/>
        <w:ind w:left="0" w:firstLine="567"/>
        <w:jc w:val="both"/>
        <w:rPr>
          <w:rFonts w:ascii="Times New Roman" w:hAnsi="Times New Roman" w:cs="Times New Roman"/>
          <w:sz w:val="24"/>
          <w:szCs w:val="24"/>
        </w:rPr>
      </w:pPr>
      <w:r w:rsidRPr="00B06199">
        <w:rPr>
          <w:rFonts w:ascii="Times New Roman" w:hAnsi="Times New Roman" w:cs="Times New Roman"/>
          <w:sz w:val="24"/>
          <w:szCs w:val="24"/>
        </w:rPr>
        <w:t xml:space="preserve">споживач є власником (користувачем) об’єкта; </w:t>
      </w:r>
    </w:p>
    <w:p w14:paraId="717B01E5" w14:textId="0DAD51F1" w:rsidR="001475F4" w:rsidRPr="00CB2966" w:rsidRDefault="000073F1" w:rsidP="00CB2966">
      <w:pPr>
        <w:pStyle w:val="a7"/>
        <w:numPr>
          <w:ilvl w:val="0"/>
          <w:numId w:val="2"/>
        </w:numPr>
        <w:spacing w:line="240" w:lineRule="auto"/>
        <w:ind w:left="0" w:firstLine="567"/>
        <w:jc w:val="both"/>
        <w:rPr>
          <w:rFonts w:ascii="Times New Roman" w:hAnsi="Times New Roman" w:cs="Times New Roman"/>
          <w:sz w:val="24"/>
          <w:szCs w:val="24"/>
        </w:rPr>
      </w:pPr>
      <w:r w:rsidRPr="00CB2966">
        <w:rPr>
          <w:rFonts w:ascii="Times New Roman" w:hAnsi="Times New Roman" w:cs="Times New Roman"/>
          <w:sz w:val="24"/>
          <w:szCs w:val="24"/>
        </w:rPr>
        <w:t>споживач приєднався до умов договору споживача про надання послуг з розподілу(передачі) електричної енергії з оператором(ами) системи;</w:t>
      </w:r>
    </w:p>
    <w:p w14:paraId="6CDCB221" w14:textId="3C811E97" w:rsidR="001475F4" w:rsidRDefault="001475F4" w:rsidP="001475F4">
      <w:pPr>
        <w:pStyle w:val="a7"/>
        <w:numPr>
          <w:ilvl w:val="0"/>
          <w:numId w:val="2"/>
        </w:numPr>
        <w:spacing w:line="240" w:lineRule="auto"/>
        <w:ind w:left="0" w:firstLine="567"/>
        <w:jc w:val="both"/>
        <w:rPr>
          <w:rFonts w:ascii="Times New Roman" w:hAnsi="Times New Roman" w:cs="Times New Roman"/>
          <w:sz w:val="24"/>
          <w:szCs w:val="24"/>
        </w:rPr>
      </w:pPr>
      <w:r w:rsidRPr="00B06199">
        <w:rPr>
          <w:rFonts w:ascii="Times New Roman" w:hAnsi="Times New Roman" w:cs="Times New Roman"/>
          <w:sz w:val="24"/>
          <w:szCs w:val="24"/>
        </w:rPr>
        <w:t>середньомісячний обсяг споживання електричної енергії по площадках комерційного обліку від 5</w:t>
      </w:r>
      <w:r>
        <w:rPr>
          <w:rFonts w:ascii="Times New Roman" w:hAnsi="Times New Roman" w:cs="Times New Roman"/>
          <w:sz w:val="24"/>
          <w:szCs w:val="24"/>
        </w:rPr>
        <w:t xml:space="preserve"> 0</w:t>
      </w:r>
      <w:r w:rsidRPr="00B06199">
        <w:rPr>
          <w:rFonts w:ascii="Times New Roman" w:hAnsi="Times New Roman" w:cs="Times New Roman"/>
          <w:sz w:val="24"/>
          <w:szCs w:val="24"/>
        </w:rPr>
        <w:t>0</w:t>
      </w:r>
      <w:r w:rsidRPr="00CB2966">
        <w:rPr>
          <w:rFonts w:ascii="Times New Roman" w:hAnsi="Times New Roman" w:cs="Times New Roman"/>
          <w:sz w:val="24"/>
          <w:szCs w:val="24"/>
        </w:rPr>
        <w:t>0</w:t>
      </w:r>
      <w:r w:rsidRPr="00B06199">
        <w:rPr>
          <w:rFonts w:ascii="Times New Roman" w:hAnsi="Times New Roman" w:cs="Times New Roman"/>
          <w:sz w:val="24"/>
          <w:szCs w:val="24"/>
        </w:rPr>
        <w:t xml:space="preserve"> 000 кВт</w:t>
      </w:r>
      <w:r w:rsidR="001F0DCC">
        <w:rPr>
          <w:rStyle w:val="normaltextrun"/>
          <w:shd w:val="clear" w:color="auto" w:fill="FFFFFF"/>
        </w:rPr>
        <w:t>∙</w:t>
      </w:r>
      <w:r w:rsidRPr="00B06199">
        <w:rPr>
          <w:rFonts w:ascii="Times New Roman" w:hAnsi="Times New Roman" w:cs="Times New Roman"/>
          <w:sz w:val="24"/>
          <w:szCs w:val="24"/>
        </w:rPr>
        <w:t xml:space="preserve">год; </w:t>
      </w:r>
    </w:p>
    <w:p w14:paraId="56BF932B" w14:textId="4A579BEE" w:rsidR="001475F4" w:rsidRPr="001475F4" w:rsidRDefault="000073F1" w:rsidP="001475F4">
      <w:pPr>
        <w:pStyle w:val="a7"/>
        <w:numPr>
          <w:ilvl w:val="0"/>
          <w:numId w:val="2"/>
        </w:numPr>
        <w:spacing w:line="240" w:lineRule="auto"/>
        <w:ind w:left="0" w:firstLine="567"/>
        <w:jc w:val="both"/>
        <w:rPr>
          <w:rFonts w:ascii="Times New Roman" w:hAnsi="Times New Roman" w:cs="Times New Roman"/>
          <w:sz w:val="24"/>
          <w:szCs w:val="24"/>
        </w:rPr>
      </w:pPr>
      <w:r w:rsidRPr="00B06199">
        <w:rPr>
          <w:rFonts w:ascii="Times New Roman" w:hAnsi="Times New Roman" w:cs="Times New Roman"/>
          <w:sz w:val="24"/>
          <w:szCs w:val="24"/>
        </w:rPr>
        <w:t xml:space="preserve"> </w:t>
      </w:r>
      <w:r w:rsidR="00E75A7A" w:rsidRPr="00E75A7A">
        <w:rPr>
          <w:rFonts w:ascii="Times New Roman" w:hAnsi="Times New Roman" w:cs="Times New Roman"/>
          <w:sz w:val="24"/>
          <w:szCs w:val="24"/>
        </w:rPr>
        <w:t>за об’єктом(ами) споживача відсутня заборгованість перед Постачальником за договорами, які були укладені раніше</w:t>
      </w:r>
      <w:r w:rsidRPr="001475F4">
        <w:rPr>
          <w:rFonts w:ascii="Times New Roman" w:hAnsi="Times New Roman" w:cs="Times New Roman"/>
          <w:sz w:val="24"/>
          <w:szCs w:val="24"/>
        </w:rPr>
        <w:t xml:space="preserve">; </w:t>
      </w:r>
    </w:p>
    <w:tbl>
      <w:tblPr>
        <w:tblStyle w:val="ac"/>
        <w:tblW w:w="5000" w:type="pct"/>
        <w:tblLook w:val="04A0" w:firstRow="1" w:lastRow="0" w:firstColumn="1" w:lastColumn="0" w:noHBand="0" w:noVBand="1"/>
      </w:tblPr>
      <w:tblGrid>
        <w:gridCol w:w="2301"/>
        <w:gridCol w:w="7328"/>
      </w:tblGrid>
      <w:tr w:rsidR="000073F1" w14:paraId="487B1F88" w14:textId="77777777" w:rsidTr="588C158A">
        <w:tc>
          <w:tcPr>
            <w:tcW w:w="1195" w:type="pct"/>
          </w:tcPr>
          <w:p w14:paraId="31E15838" w14:textId="37DF242F" w:rsidR="000073F1" w:rsidRPr="00093A08" w:rsidRDefault="000073F1" w:rsidP="00E75A7A">
            <w:pPr>
              <w:jc w:val="center"/>
              <w:rPr>
                <w:rFonts w:ascii="Times New Roman" w:hAnsi="Times New Roman" w:cs="Times New Roman"/>
                <w:sz w:val="24"/>
                <w:szCs w:val="24"/>
              </w:rPr>
            </w:pPr>
            <w:r w:rsidRPr="00093A08">
              <w:rPr>
                <w:rFonts w:ascii="Times New Roman" w:hAnsi="Times New Roman" w:cs="Times New Roman"/>
                <w:sz w:val="24"/>
                <w:szCs w:val="24"/>
              </w:rPr>
              <w:t>Умова</w:t>
            </w:r>
          </w:p>
        </w:tc>
        <w:tc>
          <w:tcPr>
            <w:tcW w:w="3805" w:type="pct"/>
          </w:tcPr>
          <w:p w14:paraId="2D023369" w14:textId="13C74323" w:rsidR="000073F1" w:rsidRPr="00093A08" w:rsidRDefault="008B61D7" w:rsidP="008B61D7">
            <w:pPr>
              <w:jc w:val="center"/>
              <w:rPr>
                <w:rFonts w:ascii="Times New Roman" w:hAnsi="Times New Roman" w:cs="Times New Roman"/>
                <w:sz w:val="24"/>
                <w:szCs w:val="24"/>
              </w:rPr>
            </w:pPr>
            <w:r w:rsidRPr="00093A08">
              <w:rPr>
                <w:rFonts w:ascii="Times New Roman" w:hAnsi="Times New Roman" w:cs="Times New Roman"/>
                <w:sz w:val="24"/>
                <w:szCs w:val="24"/>
              </w:rPr>
              <w:t>Комерційна пропозиція</w:t>
            </w:r>
          </w:p>
        </w:tc>
      </w:tr>
      <w:tr w:rsidR="000073F1" w14:paraId="1310536B" w14:textId="77777777" w:rsidTr="588C158A">
        <w:tc>
          <w:tcPr>
            <w:tcW w:w="1195" w:type="pct"/>
            <w:vAlign w:val="center"/>
          </w:tcPr>
          <w:p w14:paraId="36757CD3" w14:textId="318D3EB5" w:rsidR="000073F1" w:rsidRPr="00093A08" w:rsidRDefault="00335262" w:rsidP="00093A08">
            <w:pPr>
              <w:jc w:val="center"/>
              <w:rPr>
                <w:rFonts w:ascii="Times New Roman" w:hAnsi="Times New Roman" w:cs="Times New Roman"/>
                <w:color w:val="FF0000"/>
                <w:sz w:val="24"/>
                <w:szCs w:val="24"/>
              </w:rPr>
            </w:pPr>
            <w:r w:rsidRPr="00093A08">
              <w:rPr>
                <w:rFonts w:ascii="Times New Roman" w:hAnsi="Times New Roman" w:cs="Times New Roman"/>
                <w:sz w:val="24"/>
                <w:szCs w:val="24"/>
              </w:rPr>
              <w:t>1.</w:t>
            </w:r>
            <w:r w:rsidR="005352DD">
              <w:rPr>
                <w:rFonts w:ascii="Times New Roman" w:hAnsi="Times New Roman" w:cs="Times New Roman"/>
                <w:sz w:val="24"/>
                <w:szCs w:val="24"/>
              </w:rPr>
              <w:t xml:space="preserve"> </w:t>
            </w:r>
            <w:r w:rsidRPr="00093A08">
              <w:rPr>
                <w:rFonts w:ascii="Times New Roman" w:hAnsi="Times New Roman" w:cs="Times New Roman"/>
                <w:sz w:val="24"/>
                <w:szCs w:val="24"/>
              </w:rPr>
              <w:t>Територія здійснення ліцензованої діяльності</w:t>
            </w:r>
          </w:p>
        </w:tc>
        <w:tc>
          <w:tcPr>
            <w:tcW w:w="3805" w:type="pct"/>
          </w:tcPr>
          <w:p w14:paraId="54426B04" w14:textId="25B2CB24" w:rsidR="000073F1" w:rsidRPr="00093A08" w:rsidRDefault="006B7191" w:rsidP="00345F6D">
            <w:pPr>
              <w:keepNext/>
              <w:jc w:val="both"/>
              <w:rPr>
                <w:rFonts w:ascii="Times New Roman" w:hAnsi="Times New Roman" w:cs="Times New Roman"/>
                <w:color w:val="FF0000"/>
                <w:sz w:val="24"/>
                <w:szCs w:val="24"/>
              </w:rPr>
            </w:pPr>
            <w:r w:rsidRPr="00093A08">
              <w:rPr>
                <w:rFonts w:ascii="Times New Roman" w:hAnsi="Times New Roman" w:cs="Times New Roman"/>
                <w:sz w:val="24"/>
                <w:szCs w:val="24"/>
              </w:rPr>
              <w:t>Постачання електричної енергії на території України.</w:t>
            </w:r>
          </w:p>
        </w:tc>
      </w:tr>
      <w:tr w:rsidR="005A09D6" w14:paraId="00DA11AF" w14:textId="77777777" w:rsidTr="588C158A">
        <w:tc>
          <w:tcPr>
            <w:tcW w:w="1195" w:type="pct"/>
            <w:vAlign w:val="center"/>
          </w:tcPr>
          <w:p w14:paraId="02132ACC" w14:textId="7917EE6F"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2.</w:t>
            </w:r>
            <w:r>
              <w:rPr>
                <w:rFonts w:ascii="Times New Roman" w:hAnsi="Times New Roman" w:cs="Times New Roman"/>
                <w:sz w:val="24"/>
                <w:szCs w:val="24"/>
              </w:rPr>
              <w:t xml:space="preserve"> </w:t>
            </w:r>
            <w:r w:rsidRPr="00093A08">
              <w:rPr>
                <w:rFonts w:ascii="Times New Roman" w:hAnsi="Times New Roman" w:cs="Times New Roman"/>
                <w:sz w:val="24"/>
                <w:szCs w:val="24"/>
              </w:rPr>
              <w:t>Ціна</w:t>
            </w:r>
          </w:p>
        </w:tc>
        <w:tc>
          <w:tcPr>
            <w:tcW w:w="3805" w:type="pct"/>
          </w:tcPr>
          <w:p w14:paraId="75F0F0CD" w14:textId="7155347C" w:rsidR="005A09D6" w:rsidRPr="003F26FD" w:rsidRDefault="00F092EC" w:rsidP="003F26FD">
            <w:pPr>
              <w:rPr>
                <w:rFonts w:ascii="Times New Roman" w:eastAsia="Times New Roman" w:hAnsi="Times New Roman" w:cs="Times New Roman"/>
                <w:sz w:val="24"/>
                <w:szCs w:val="24"/>
              </w:rPr>
            </w:pPr>
            <w:r w:rsidRPr="588C158A">
              <w:rPr>
                <w:rFonts w:ascii="Times New Roman" w:eastAsia="Times New Roman" w:hAnsi="Times New Roman" w:cs="Times New Roman"/>
                <w:sz w:val="24"/>
                <w:szCs w:val="24"/>
              </w:rPr>
              <w:t xml:space="preserve">Фактична ціна у відповідному розрахунковому </w:t>
            </w:r>
            <w:r w:rsidR="009E1B2A">
              <w:rPr>
                <w:rFonts w:ascii="Times New Roman" w:eastAsia="Times New Roman" w:hAnsi="Times New Roman" w:cs="Times New Roman"/>
                <w:sz w:val="24"/>
                <w:szCs w:val="24"/>
                <w:lang w:val="ru-RU"/>
              </w:rPr>
              <w:t>пер</w:t>
            </w:r>
            <w:r w:rsidR="009E1B2A">
              <w:rPr>
                <w:rFonts w:ascii="Times New Roman" w:eastAsia="Times New Roman" w:hAnsi="Times New Roman" w:cs="Times New Roman"/>
                <w:sz w:val="24"/>
                <w:szCs w:val="24"/>
              </w:rPr>
              <w:t xml:space="preserve">іоді </w:t>
            </w:r>
            <w:r w:rsidR="003F26FD">
              <w:rPr>
                <w:rFonts w:ascii="Times New Roman" w:eastAsia="Times New Roman" w:hAnsi="Times New Roman" w:cs="Times New Roman"/>
                <w:sz w:val="24"/>
                <w:szCs w:val="24"/>
              </w:rPr>
              <w:t>дорівнює 4</w:t>
            </w:r>
            <w:r w:rsidR="006D32AC">
              <w:rPr>
                <w:rFonts w:ascii="Times New Roman" w:eastAsia="Times New Roman" w:hAnsi="Times New Roman" w:cs="Times New Roman"/>
                <w:sz w:val="24"/>
                <w:szCs w:val="24"/>
              </w:rPr>
              <w:t> </w:t>
            </w:r>
            <w:r w:rsidR="003F26FD">
              <w:rPr>
                <w:rFonts w:ascii="Times New Roman" w:eastAsia="Times New Roman" w:hAnsi="Times New Roman" w:cs="Times New Roman"/>
                <w:sz w:val="24"/>
                <w:szCs w:val="24"/>
              </w:rPr>
              <w:t>7</w:t>
            </w:r>
            <w:r w:rsidR="009E3F6C" w:rsidRPr="009E3F6C">
              <w:rPr>
                <w:rFonts w:ascii="Times New Roman" w:eastAsia="Times New Roman" w:hAnsi="Times New Roman" w:cs="Times New Roman"/>
                <w:sz w:val="24"/>
                <w:szCs w:val="24"/>
                <w:lang w:val="ru-RU"/>
              </w:rPr>
              <w:t>45</w:t>
            </w:r>
            <w:r w:rsidR="006D32AC">
              <w:rPr>
                <w:rFonts w:ascii="Times New Roman" w:eastAsia="Times New Roman" w:hAnsi="Times New Roman" w:cs="Times New Roman"/>
                <w:sz w:val="24"/>
                <w:szCs w:val="24"/>
              </w:rPr>
              <w:t>, 00</w:t>
            </w:r>
            <w:r w:rsidR="003F26FD" w:rsidRPr="588C158A">
              <w:rPr>
                <w:rFonts w:ascii="Times New Roman" w:eastAsia="Times New Roman" w:hAnsi="Times New Roman" w:cs="Times New Roman"/>
                <w:sz w:val="24"/>
                <w:szCs w:val="24"/>
              </w:rPr>
              <w:t xml:space="preserve"> грн</w:t>
            </w:r>
            <w:r w:rsidR="003F26FD">
              <w:rPr>
                <w:rFonts w:ascii="Times New Roman" w:eastAsia="Times New Roman" w:hAnsi="Times New Roman" w:cs="Times New Roman"/>
                <w:sz w:val="24"/>
                <w:szCs w:val="24"/>
              </w:rPr>
              <w:t xml:space="preserve"> без ПДВ</w:t>
            </w:r>
            <w:r w:rsidR="003F26FD" w:rsidRPr="588C158A">
              <w:rPr>
                <w:rFonts w:ascii="Times New Roman" w:eastAsia="Times New Roman" w:hAnsi="Times New Roman" w:cs="Times New Roman"/>
                <w:sz w:val="24"/>
                <w:szCs w:val="24"/>
              </w:rPr>
              <w:t xml:space="preserve"> за 1 </w:t>
            </w:r>
            <w:r w:rsidR="006D32AC">
              <w:rPr>
                <w:rFonts w:ascii="Times New Roman" w:eastAsia="Times New Roman" w:hAnsi="Times New Roman" w:cs="Times New Roman"/>
                <w:sz w:val="24"/>
                <w:szCs w:val="24"/>
                <w:lang w:val="ru-RU"/>
              </w:rPr>
              <w:t>М</w:t>
            </w:r>
            <w:r w:rsidR="003F26FD" w:rsidRPr="588C158A">
              <w:rPr>
                <w:rFonts w:ascii="Times New Roman" w:eastAsia="Times New Roman" w:hAnsi="Times New Roman" w:cs="Times New Roman"/>
                <w:sz w:val="24"/>
                <w:szCs w:val="24"/>
              </w:rPr>
              <w:t>Вт</w:t>
            </w:r>
            <w:r w:rsidR="003F26FD">
              <w:rPr>
                <w:rStyle w:val="normaltextrun"/>
                <w:shd w:val="clear" w:color="auto" w:fill="FFFFFF"/>
              </w:rPr>
              <w:t>∙</w:t>
            </w:r>
            <w:r w:rsidR="003F26FD" w:rsidRPr="588C158A">
              <w:rPr>
                <w:rFonts w:ascii="Times New Roman" w:eastAsia="Times New Roman" w:hAnsi="Times New Roman" w:cs="Times New Roman"/>
                <w:sz w:val="24"/>
                <w:szCs w:val="24"/>
              </w:rPr>
              <w:t>год</w:t>
            </w:r>
            <w:r w:rsidR="003F26FD">
              <w:rPr>
                <w:rFonts w:ascii="Times New Roman" w:eastAsia="Times New Roman" w:hAnsi="Times New Roman" w:cs="Times New Roman"/>
                <w:sz w:val="24"/>
                <w:szCs w:val="24"/>
              </w:rPr>
              <w:t>. В зазначену ціну включені</w:t>
            </w:r>
            <w:r w:rsidR="005A09D6" w:rsidRPr="588C158A">
              <w:rPr>
                <w:rFonts w:ascii="Times New Roman" w:hAnsi="Times New Roman" w:cs="Times New Roman"/>
                <w:sz w:val="24"/>
                <w:szCs w:val="24"/>
              </w:rPr>
              <w:t xml:space="preserve"> тариф на послугу з передачі електричної енергії </w:t>
            </w:r>
            <w:r w:rsidR="003F26FD">
              <w:rPr>
                <w:rFonts w:ascii="Times New Roman" w:hAnsi="Times New Roman" w:cs="Times New Roman"/>
                <w:sz w:val="24"/>
                <w:szCs w:val="24"/>
              </w:rPr>
              <w:t>та</w:t>
            </w:r>
            <w:r w:rsidR="005A09D6" w:rsidRPr="588C158A">
              <w:rPr>
                <w:rFonts w:ascii="Times New Roman" w:hAnsi="Times New Roman" w:cs="Times New Roman"/>
                <w:sz w:val="24"/>
                <w:szCs w:val="24"/>
              </w:rPr>
              <w:t xml:space="preserve"> тариф на послугу з розподілу електричної енергії; </w:t>
            </w:r>
          </w:p>
          <w:p w14:paraId="345D783A" w14:textId="2FDB9516" w:rsidR="005A09D6" w:rsidRPr="00093A08" w:rsidRDefault="005A09D6" w:rsidP="005A09D6">
            <w:pPr>
              <w:keepNext/>
              <w:jc w:val="both"/>
              <w:rPr>
                <w:rFonts w:ascii="Times New Roman" w:hAnsi="Times New Roman" w:cs="Times New Roman"/>
                <w:sz w:val="24"/>
                <w:szCs w:val="24"/>
              </w:rPr>
            </w:pPr>
            <w:r w:rsidRPr="00093A08">
              <w:rPr>
                <w:rFonts w:ascii="Times New Roman" w:hAnsi="Times New Roman" w:cs="Times New Roman"/>
                <w:sz w:val="24"/>
                <w:szCs w:val="24"/>
              </w:rPr>
              <w:t>Сума податку на додану вартість (ПДВ) нараховується згідно з Податковим кодексом України.</w:t>
            </w:r>
          </w:p>
        </w:tc>
      </w:tr>
      <w:tr w:rsidR="005A09D6" w14:paraId="5270860E" w14:textId="77777777" w:rsidTr="588C158A">
        <w:tc>
          <w:tcPr>
            <w:tcW w:w="1195" w:type="pct"/>
            <w:vAlign w:val="center"/>
          </w:tcPr>
          <w:p w14:paraId="4344AA06" w14:textId="6510787A"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3.</w:t>
            </w:r>
            <w:r>
              <w:rPr>
                <w:rFonts w:ascii="Times New Roman" w:hAnsi="Times New Roman" w:cs="Times New Roman"/>
                <w:sz w:val="24"/>
                <w:szCs w:val="24"/>
              </w:rPr>
              <w:t xml:space="preserve"> </w:t>
            </w:r>
            <w:r w:rsidRPr="00093A08">
              <w:rPr>
                <w:rFonts w:ascii="Times New Roman" w:hAnsi="Times New Roman" w:cs="Times New Roman"/>
                <w:sz w:val="24"/>
                <w:szCs w:val="24"/>
              </w:rPr>
              <w:t>Оплата за послугу з розподілу</w:t>
            </w:r>
          </w:p>
        </w:tc>
        <w:tc>
          <w:tcPr>
            <w:tcW w:w="3805" w:type="pct"/>
          </w:tcPr>
          <w:p w14:paraId="05F56910" w14:textId="300CF866" w:rsidR="005A09D6" w:rsidRPr="00093A08" w:rsidRDefault="00A54241" w:rsidP="005A09D6">
            <w:pPr>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5A09D6" w:rsidRPr="78B9B957">
              <w:rPr>
                <w:rFonts w:ascii="Times New Roman" w:hAnsi="Times New Roman" w:cs="Times New Roman"/>
                <w:sz w:val="24"/>
                <w:szCs w:val="24"/>
              </w:rPr>
              <w:t>Варіант 1: Споживач сплачує за послугу з розподілу електричної енергії через Постачальника</w:t>
            </w:r>
            <w:r w:rsidR="005A09D6" w:rsidRPr="78B9B957">
              <w:rPr>
                <w:rFonts w:ascii="Times New Roman" w:hAnsi="Times New Roman" w:cs="Times New Roman"/>
                <w:sz w:val="24"/>
                <w:szCs w:val="24"/>
                <w:lang w:val="ru-RU"/>
              </w:rPr>
              <w:t>.</w:t>
            </w:r>
          </w:p>
          <w:p w14:paraId="3C3B852B" w14:textId="07AC08DE" w:rsidR="005A09D6" w:rsidRPr="00093A08" w:rsidRDefault="00A54241" w:rsidP="005A09D6">
            <w:pPr>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5A09D6" w:rsidRPr="78B9B957">
              <w:rPr>
                <w:rFonts w:ascii="Times New Roman" w:hAnsi="Times New Roman" w:cs="Times New Roman"/>
                <w:sz w:val="24"/>
                <w:szCs w:val="24"/>
              </w:rPr>
              <w:t>Варіант 2: Споживач сплачує за послугу з розподілу електричної енергії через ОСР</w:t>
            </w:r>
            <w:r w:rsidR="005A09D6" w:rsidRPr="78B9B957">
              <w:rPr>
                <w:rFonts w:ascii="Times New Roman" w:hAnsi="Times New Roman" w:cs="Times New Roman"/>
                <w:sz w:val="24"/>
                <w:szCs w:val="24"/>
                <w:lang w:val="ru-RU"/>
              </w:rPr>
              <w:t>.</w:t>
            </w:r>
          </w:p>
        </w:tc>
      </w:tr>
      <w:tr w:rsidR="005A09D6" w14:paraId="214A3118" w14:textId="77777777" w:rsidTr="588C158A">
        <w:tc>
          <w:tcPr>
            <w:tcW w:w="1195" w:type="pct"/>
            <w:vAlign w:val="center"/>
          </w:tcPr>
          <w:p w14:paraId="0FBCCD48" w14:textId="43EADFD9"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4.</w:t>
            </w:r>
            <w:r>
              <w:rPr>
                <w:rFonts w:ascii="Times New Roman" w:hAnsi="Times New Roman" w:cs="Times New Roman"/>
                <w:sz w:val="24"/>
                <w:szCs w:val="24"/>
              </w:rPr>
              <w:t xml:space="preserve"> </w:t>
            </w:r>
            <w:r w:rsidRPr="00093A08">
              <w:rPr>
                <w:rFonts w:ascii="Times New Roman" w:hAnsi="Times New Roman" w:cs="Times New Roman"/>
                <w:sz w:val="24"/>
                <w:szCs w:val="24"/>
              </w:rPr>
              <w:t>Оплата за послугу з передачі</w:t>
            </w:r>
          </w:p>
        </w:tc>
        <w:tc>
          <w:tcPr>
            <w:tcW w:w="3805" w:type="pct"/>
          </w:tcPr>
          <w:p w14:paraId="26C6AF91" w14:textId="4C89B455" w:rsidR="005A09D6" w:rsidRPr="00093A08" w:rsidRDefault="003B4933" w:rsidP="005A09D6">
            <w:pPr>
              <w:jc w:val="both"/>
              <w:rPr>
                <w:rFonts w:ascii="Times New Roman" w:hAnsi="Times New Roman" w:cs="Times New Roman"/>
                <w:sz w:val="24"/>
                <w:szCs w:val="24"/>
              </w:rPr>
            </w:pPr>
            <w:r w:rsidRPr="588C158A">
              <w:rPr>
                <w:rFonts w:ascii="Times New Roman" w:hAnsi="Times New Roman" w:cs="Times New Roman"/>
                <w:sz w:val="24"/>
                <w:szCs w:val="24"/>
              </w:rPr>
              <w:t xml:space="preserve">□ </w:t>
            </w:r>
            <w:r w:rsidR="005A09D6" w:rsidRPr="588C158A">
              <w:rPr>
                <w:rFonts w:ascii="Times New Roman" w:hAnsi="Times New Roman" w:cs="Times New Roman"/>
                <w:sz w:val="24"/>
                <w:szCs w:val="24"/>
              </w:rPr>
              <w:t>Варіант 1: Споживач сплачує за послугу з передачі електричної енергії через Постачальника.</w:t>
            </w:r>
          </w:p>
          <w:p w14:paraId="591BF9C7" w14:textId="79511E07" w:rsidR="005A09D6" w:rsidRPr="00093A08" w:rsidRDefault="003B4933" w:rsidP="005A09D6">
            <w:pPr>
              <w:jc w:val="both"/>
              <w:rPr>
                <w:rFonts w:ascii="Times New Roman" w:hAnsi="Times New Roman" w:cs="Times New Roman"/>
                <w:sz w:val="24"/>
                <w:szCs w:val="24"/>
              </w:rPr>
            </w:pPr>
            <w:r w:rsidRPr="588C158A">
              <w:rPr>
                <w:rFonts w:ascii="Times New Roman" w:hAnsi="Times New Roman" w:cs="Times New Roman"/>
                <w:sz w:val="24"/>
                <w:szCs w:val="24"/>
              </w:rPr>
              <w:t xml:space="preserve">□ </w:t>
            </w:r>
            <w:r w:rsidR="005A09D6" w:rsidRPr="588C158A">
              <w:rPr>
                <w:rFonts w:ascii="Times New Roman" w:hAnsi="Times New Roman" w:cs="Times New Roman"/>
                <w:sz w:val="24"/>
                <w:szCs w:val="24"/>
              </w:rPr>
              <w:t>Варіант 2: Споживач сплачує за послугу з передачі електричної енергії через ОСП.</w:t>
            </w:r>
          </w:p>
        </w:tc>
      </w:tr>
      <w:tr w:rsidR="005A09D6" w14:paraId="0383448F" w14:textId="77777777" w:rsidTr="588C158A">
        <w:tc>
          <w:tcPr>
            <w:tcW w:w="1195" w:type="pct"/>
            <w:vAlign w:val="center"/>
          </w:tcPr>
          <w:p w14:paraId="0C072C75" w14:textId="249A6784"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5.</w:t>
            </w:r>
            <w:r>
              <w:rPr>
                <w:rFonts w:ascii="Times New Roman" w:hAnsi="Times New Roman" w:cs="Times New Roman"/>
                <w:sz w:val="24"/>
                <w:szCs w:val="24"/>
              </w:rPr>
              <w:t xml:space="preserve"> </w:t>
            </w:r>
            <w:r w:rsidRPr="00093A08">
              <w:rPr>
                <w:rFonts w:ascii="Times New Roman" w:hAnsi="Times New Roman" w:cs="Times New Roman"/>
                <w:sz w:val="24"/>
                <w:szCs w:val="24"/>
              </w:rPr>
              <w:t>Можливість застосування тарифних коефіцієнтів</w:t>
            </w:r>
          </w:p>
        </w:tc>
        <w:tc>
          <w:tcPr>
            <w:tcW w:w="3805" w:type="pct"/>
          </w:tcPr>
          <w:p w14:paraId="0A413B0E" w14:textId="1851407E"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Не застосовуються.</w:t>
            </w:r>
          </w:p>
        </w:tc>
      </w:tr>
      <w:tr w:rsidR="005A09D6" w14:paraId="31C247A0" w14:textId="77777777" w:rsidTr="588C158A">
        <w:tc>
          <w:tcPr>
            <w:tcW w:w="1195" w:type="pct"/>
            <w:vAlign w:val="center"/>
          </w:tcPr>
          <w:p w14:paraId="3C775CFA" w14:textId="52820B11"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6.</w:t>
            </w:r>
            <w:r>
              <w:rPr>
                <w:rFonts w:ascii="Times New Roman" w:hAnsi="Times New Roman" w:cs="Times New Roman"/>
                <w:sz w:val="24"/>
                <w:szCs w:val="24"/>
              </w:rPr>
              <w:t xml:space="preserve"> </w:t>
            </w:r>
            <w:r w:rsidRPr="00093A08">
              <w:rPr>
                <w:rFonts w:ascii="Times New Roman" w:hAnsi="Times New Roman" w:cs="Times New Roman"/>
                <w:sz w:val="24"/>
                <w:szCs w:val="24"/>
              </w:rPr>
              <w:t>Розрахунковий період</w:t>
            </w:r>
          </w:p>
        </w:tc>
        <w:tc>
          <w:tcPr>
            <w:tcW w:w="3805" w:type="pct"/>
          </w:tcPr>
          <w:p w14:paraId="4A36C221" w14:textId="3897B952"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Розрахунковим періодом є календарний місяць, який починається з 01 числа місяця та закінчується в останній день місяця.</w:t>
            </w:r>
          </w:p>
        </w:tc>
      </w:tr>
      <w:tr w:rsidR="005A09D6" w14:paraId="2D2C9007" w14:textId="77777777" w:rsidTr="588C158A">
        <w:tc>
          <w:tcPr>
            <w:tcW w:w="1195" w:type="pct"/>
            <w:vAlign w:val="center"/>
          </w:tcPr>
          <w:p w14:paraId="6269BD9B" w14:textId="61EF7C64"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7.</w:t>
            </w:r>
            <w:r>
              <w:rPr>
                <w:rFonts w:ascii="Times New Roman" w:hAnsi="Times New Roman" w:cs="Times New Roman"/>
                <w:sz w:val="24"/>
                <w:szCs w:val="24"/>
              </w:rPr>
              <w:t xml:space="preserve"> </w:t>
            </w:r>
            <w:r w:rsidRPr="00093A08">
              <w:rPr>
                <w:rFonts w:ascii="Times New Roman" w:hAnsi="Times New Roman" w:cs="Times New Roman"/>
                <w:sz w:val="24"/>
                <w:szCs w:val="24"/>
              </w:rPr>
              <w:t>Заявлені обсяги споживання</w:t>
            </w:r>
          </w:p>
        </w:tc>
        <w:tc>
          <w:tcPr>
            <w:tcW w:w="3805" w:type="pct"/>
          </w:tcPr>
          <w:p w14:paraId="0D9BCDA3" w14:textId="1AC441AA"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Споживач до 01 вересня поточного року надає в письмовій формі відомості про обсяги очікуваного споживання електричної енергії в </w:t>
            </w:r>
            <w:r w:rsidRPr="00093A08">
              <w:rPr>
                <w:rFonts w:ascii="Times New Roman" w:hAnsi="Times New Roman" w:cs="Times New Roman"/>
                <w:sz w:val="24"/>
                <w:szCs w:val="24"/>
              </w:rPr>
              <w:lastRenderedPageBreak/>
              <w:t>наступному році з помісячним розподілом. У разі ненадання Споживачем зазначених відомостей про обсяги очікуваного споживання електричної енергії в наступному році Постачальник визначає заявлений обсяг електроенергії за фактичними обсягами споживання у відповідних періодах поточного року, що минули. Обсяги спожитої електричної енергії Споживачем визначаються за кожний окремий розрахунковий період адміністратором комерційного обліку (оператором системи).</w:t>
            </w:r>
          </w:p>
        </w:tc>
      </w:tr>
      <w:tr w:rsidR="005A09D6" w14:paraId="5C4A82F0" w14:textId="77777777" w:rsidTr="588C158A">
        <w:tc>
          <w:tcPr>
            <w:tcW w:w="1195" w:type="pct"/>
            <w:vAlign w:val="center"/>
          </w:tcPr>
          <w:p w14:paraId="5F8D19E6" w14:textId="3B83F3C7" w:rsidR="005A09D6" w:rsidRPr="00093A08" w:rsidRDefault="005A09D6" w:rsidP="005A09D6">
            <w:pPr>
              <w:jc w:val="center"/>
              <w:rPr>
                <w:rFonts w:ascii="Times New Roman" w:hAnsi="Times New Roman" w:cs="Times New Roman"/>
                <w:sz w:val="24"/>
                <w:szCs w:val="24"/>
                <w:lang w:val="ru-RU"/>
              </w:rPr>
            </w:pPr>
            <w:r w:rsidRPr="00093A08">
              <w:rPr>
                <w:rFonts w:ascii="Times New Roman" w:hAnsi="Times New Roman" w:cs="Times New Roman"/>
                <w:sz w:val="24"/>
                <w:szCs w:val="24"/>
              </w:rPr>
              <w:lastRenderedPageBreak/>
              <w:t>8.</w:t>
            </w:r>
            <w:r>
              <w:rPr>
                <w:rFonts w:ascii="Times New Roman" w:hAnsi="Times New Roman" w:cs="Times New Roman"/>
                <w:sz w:val="24"/>
                <w:szCs w:val="24"/>
              </w:rPr>
              <w:t xml:space="preserve"> </w:t>
            </w:r>
            <w:r w:rsidRPr="00093A08">
              <w:rPr>
                <w:rFonts w:ascii="Times New Roman" w:hAnsi="Times New Roman" w:cs="Times New Roman"/>
                <w:sz w:val="24"/>
                <w:szCs w:val="24"/>
              </w:rPr>
              <w:t>Коригування заявлених обсягів</w:t>
            </w:r>
            <w:r w:rsidRPr="00093A08">
              <w:rPr>
                <w:rFonts w:ascii="Times New Roman" w:hAnsi="Times New Roman" w:cs="Times New Roman"/>
                <w:sz w:val="24"/>
                <w:szCs w:val="24"/>
                <w:lang w:val="ru-RU"/>
              </w:rPr>
              <w:t xml:space="preserve"> </w:t>
            </w:r>
            <w:r w:rsidRPr="00093A08">
              <w:rPr>
                <w:rFonts w:ascii="Times New Roman" w:hAnsi="Times New Roman" w:cs="Times New Roman"/>
                <w:sz w:val="24"/>
                <w:szCs w:val="24"/>
              </w:rPr>
              <w:t>споживання</w:t>
            </w:r>
          </w:p>
        </w:tc>
        <w:tc>
          <w:tcPr>
            <w:tcW w:w="3805" w:type="pct"/>
          </w:tcPr>
          <w:p w14:paraId="4327789A" w14:textId="39A62851" w:rsidR="005A09D6" w:rsidRPr="00093A08" w:rsidRDefault="005A09D6" w:rsidP="005A09D6">
            <w:pPr>
              <w:jc w:val="both"/>
              <w:rPr>
                <w:rFonts w:ascii="Times New Roman" w:hAnsi="Times New Roman" w:cs="Times New Roman"/>
                <w:sz w:val="24"/>
                <w:szCs w:val="24"/>
                <w:lang w:val="ru-RU"/>
              </w:rPr>
            </w:pPr>
            <w:r w:rsidRPr="00093A08">
              <w:rPr>
                <w:rFonts w:ascii="Times New Roman" w:hAnsi="Times New Roman" w:cs="Times New Roman"/>
                <w:sz w:val="24"/>
                <w:szCs w:val="24"/>
              </w:rPr>
              <w:t>Споживач надає Постачальнику інформацію про скориговане споживання електричної енергії на наступний розрахунковий місяць (прогнозний графік)</w:t>
            </w:r>
            <w:r w:rsidRPr="00093A08">
              <w:rPr>
                <w:rFonts w:ascii="Times New Roman" w:hAnsi="Times New Roman" w:cs="Times New Roman"/>
                <w:sz w:val="24"/>
                <w:szCs w:val="24"/>
                <w:lang w:val="ru-RU"/>
              </w:rPr>
              <w:t xml:space="preserve"> </w:t>
            </w:r>
            <w:r w:rsidRPr="00093A08">
              <w:rPr>
                <w:rFonts w:ascii="Times New Roman" w:hAnsi="Times New Roman" w:cs="Times New Roman"/>
                <w:sz w:val="24"/>
                <w:szCs w:val="24"/>
              </w:rPr>
              <w:t>до 25 числа (включно) місяця, що передує розрахунковому. Коригування у бік збільшення здійснюється за умови попередньої оплати додатково заявлених обсягів.</w:t>
            </w:r>
          </w:p>
        </w:tc>
      </w:tr>
      <w:tr w:rsidR="005A09D6" w14:paraId="41097DA4" w14:textId="77777777" w:rsidTr="588C158A">
        <w:tc>
          <w:tcPr>
            <w:tcW w:w="1195" w:type="pct"/>
            <w:vAlign w:val="center"/>
          </w:tcPr>
          <w:p w14:paraId="0F7DF8D3" w14:textId="502BDEE7"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9.</w:t>
            </w:r>
            <w:r>
              <w:rPr>
                <w:rFonts w:ascii="Times New Roman" w:hAnsi="Times New Roman" w:cs="Times New Roman"/>
                <w:sz w:val="24"/>
                <w:szCs w:val="24"/>
              </w:rPr>
              <w:t xml:space="preserve"> </w:t>
            </w:r>
            <w:r w:rsidRPr="00093A08">
              <w:rPr>
                <w:rFonts w:ascii="Times New Roman" w:hAnsi="Times New Roman" w:cs="Times New Roman"/>
                <w:sz w:val="24"/>
                <w:szCs w:val="24"/>
              </w:rPr>
              <w:t>Штраф за відхилення фактичного споживання електричної енергії від заявленого обсягу споживання</w:t>
            </w:r>
          </w:p>
        </w:tc>
        <w:tc>
          <w:tcPr>
            <w:tcW w:w="3805" w:type="pct"/>
          </w:tcPr>
          <w:p w14:paraId="6EBF6EC5" w14:textId="1B354335"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За підсумками розрахункового періоду до Споживача може бути застосований штраф у розмірі вартості величини обсягу, що перевищує 5% відхилення прогнозованого (заявленого) обсягу споживання електричної енергії від фактичного споживання.</w:t>
            </w:r>
          </w:p>
        </w:tc>
      </w:tr>
      <w:tr w:rsidR="005A09D6" w14:paraId="40EABF0B" w14:textId="77777777" w:rsidTr="588C158A">
        <w:tc>
          <w:tcPr>
            <w:tcW w:w="1195" w:type="pct"/>
            <w:vAlign w:val="center"/>
          </w:tcPr>
          <w:p w14:paraId="15E16385" w14:textId="16764933"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10.</w:t>
            </w:r>
            <w:r>
              <w:rPr>
                <w:rFonts w:ascii="Times New Roman" w:hAnsi="Times New Roman" w:cs="Times New Roman"/>
                <w:sz w:val="24"/>
                <w:szCs w:val="24"/>
              </w:rPr>
              <w:t xml:space="preserve"> </w:t>
            </w:r>
            <w:r w:rsidRPr="00093A08">
              <w:rPr>
                <w:rFonts w:ascii="Times New Roman" w:hAnsi="Times New Roman" w:cs="Times New Roman"/>
                <w:sz w:val="24"/>
                <w:szCs w:val="24"/>
              </w:rPr>
              <w:t>Можливість надання пільг</w:t>
            </w:r>
          </w:p>
        </w:tc>
        <w:tc>
          <w:tcPr>
            <w:tcW w:w="3805" w:type="pct"/>
          </w:tcPr>
          <w:p w14:paraId="786632DB" w14:textId="49FFD52D" w:rsidR="001E51AE" w:rsidRPr="00093A08" w:rsidRDefault="001E51AE" w:rsidP="001E51AE">
            <w:pPr>
              <w:jc w:val="both"/>
              <w:rPr>
                <w:rFonts w:ascii="Times New Roman" w:hAnsi="Times New Roman" w:cs="Times New Roman"/>
                <w:sz w:val="24"/>
                <w:szCs w:val="24"/>
                <w:lang w:val="ru-RU"/>
              </w:rPr>
            </w:pPr>
            <w:r w:rsidRPr="3455D96A">
              <w:rPr>
                <w:rFonts w:ascii="Times New Roman" w:hAnsi="Times New Roman" w:cs="Times New Roman"/>
                <w:sz w:val="24"/>
                <w:szCs w:val="24"/>
              </w:rPr>
              <w:t>□ Варіант 1: Наявні підтверджувальні документи</w:t>
            </w:r>
            <w:r w:rsidR="00DD3B9B" w:rsidRPr="3455D96A">
              <w:rPr>
                <w:rFonts w:ascii="Times New Roman" w:hAnsi="Times New Roman" w:cs="Times New Roman"/>
                <w:sz w:val="24"/>
                <w:szCs w:val="24"/>
              </w:rPr>
              <w:t xml:space="preserve"> для пільги</w:t>
            </w:r>
            <w:r w:rsidR="59A0D7C5" w:rsidRPr="3455D96A">
              <w:rPr>
                <w:rFonts w:ascii="Times New Roman" w:hAnsi="Times New Roman" w:cs="Times New Roman"/>
                <w:sz w:val="24"/>
                <w:szCs w:val="24"/>
              </w:rPr>
              <w:t>/субсидії</w:t>
            </w:r>
            <w:r w:rsidR="09308C0D" w:rsidRPr="3455D96A">
              <w:rPr>
                <w:rFonts w:ascii="Times New Roman" w:hAnsi="Times New Roman" w:cs="Times New Roman"/>
                <w:sz w:val="24"/>
                <w:szCs w:val="24"/>
              </w:rPr>
              <w:t>.</w:t>
            </w:r>
          </w:p>
          <w:p w14:paraId="02B3A5C2" w14:textId="13B03598" w:rsidR="005A09D6" w:rsidRPr="00093A08" w:rsidRDefault="001E51AE" w:rsidP="001E51AE">
            <w:pPr>
              <w:jc w:val="both"/>
              <w:rPr>
                <w:rFonts w:ascii="Times New Roman" w:hAnsi="Times New Roman" w:cs="Times New Roman"/>
                <w:sz w:val="24"/>
                <w:szCs w:val="24"/>
              </w:rPr>
            </w:pPr>
            <w:r w:rsidRPr="3455D96A">
              <w:rPr>
                <w:rFonts w:ascii="Times New Roman" w:hAnsi="Times New Roman" w:cs="Times New Roman"/>
                <w:sz w:val="24"/>
                <w:szCs w:val="24"/>
              </w:rPr>
              <w:t xml:space="preserve">□ Варіант 2: </w:t>
            </w:r>
            <w:r w:rsidR="00DD3B9B" w:rsidRPr="3455D96A">
              <w:rPr>
                <w:rFonts w:ascii="Times New Roman" w:hAnsi="Times New Roman" w:cs="Times New Roman"/>
                <w:sz w:val="24"/>
                <w:szCs w:val="24"/>
              </w:rPr>
              <w:t>Відсутня пільга</w:t>
            </w:r>
            <w:r w:rsidR="42193FB8" w:rsidRPr="3455D96A">
              <w:rPr>
                <w:rFonts w:ascii="Times New Roman" w:hAnsi="Times New Roman" w:cs="Times New Roman"/>
                <w:sz w:val="24"/>
                <w:szCs w:val="24"/>
              </w:rPr>
              <w:t>/субсидія.</w:t>
            </w:r>
          </w:p>
        </w:tc>
      </w:tr>
      <w:tr w:rsidR="005A09D6" w14:paraId="2282ED0B" w14:textId="77777777" w:rsidTr="588C158A">
        <w:tc>
          <w:tcPr>
            <w:tcW w:w="1195" w:type="pct"/>
            <w:vAlign w:val="center"/>
          </w:tcPr>
          <w:p w14:paraId="1C71BC90" w14:textId="5B7997A3" w:rsidR="005A09D6" w:rsidRPr="00093A08" w:rsidRDefault="005A09D6" w:rsidP="005A09D6">
            <w:pPr>
              <w:jc w:val="center"/>
              <w:rPr>
                <w:rFonts w:ascii="Times New Roman" w:hAnsi="Times New Roman" w:cs="Times New Roman"/>
                <w:sz w:val="24"/>
                <w:szCs w:val="24"/>
              </w:rPr>
            </w:pPr>
            <w:r w:rsidRPr="00EB99C1">
              <w:rPr>
                <w:rFonts w:ascii="Times New Roman" w:hAnsi="Times New Roman" w:cs="Times New Roman"/>
                <w:sz w:val="24"/>
                <w:szCs w:val="24"/>
              </w:rPr>
              <w:t>11. Термін надання рахунку</w:t>
            </w:r>
          </w:p>
        </w:tc>
        <w:tc>
          <w:tcPr>
            <w:tcW w:w="3805" w:type="pct"/>
          </w:tcPr>
          <w:p w14:paraId="703987C9" w14:textId="77777777" w:rsidR="005A09D6" w:rsidRDefault="005A09D6" w:rsidP="005A09D6">
            <w:pPr>
              <w:jc w:val="both"/>
              <w:rPr>
                <w:rFonts w:ascii="Times New Roman" w:hAnsi="Times New Roman" w:cs="Times New Roman"/>
                <w:sz w:val="24"/>
                <w:szCs w:val="24"/>
              </w:rPr>
            </w:pPr>
            <w:r w:rsidRPr="78B9B957">
              <w:rPr>
                <w:rFonts w:ascii="Times New Roman" w:hAnsi="Times New Roman" w:cs="Times New Roman"/>
                <w:sz w:val="24"/>
                <w:szCs w:val="24"/>
              </w:rPr>
              <w:t xml:space="preserve">Рахунок за фактично спожиту електричну енергію надається Споживачу до </w:t>
            </w:r>
            <w:r w:rsidRPr="005134A9">
              <w:rPr>
                <w:rFonts w:ascii="Times New Roman" w:hAnsi="Times New Roman" w:cs="Times New Roman"/>
                <w:sz w:val="24"/>
                <w:szCs w:val="24"/>
              </w:rPr>
              <w:t>07</w:t>
            </w:r>
            <w:r w:rsidRPr="78B9B957">
              <w:rPr>
                <w:rFonts w:ascii="Times New Roman" w:hAnsi="Times New Roman" w:cs="Times New Roman"/>
                <w:sz w:val="24"/>
                <w:szCs w:val="24"/>
              </w:rPr>
              <w:t xml:space="preserve"> числа місяця, наступного за розрахунковим одним із таких способів: </w:t>
            </w:r>
          </w:p>
          <w:p w14:paraId="2D5833AA"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 електронною поштою, вказаною в заяві - приєднання; </w:t>
            </w:r>
          </w:p>
          <w:p w14:paraId="12BC33DA"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 у відповідних структурних підрозділах Постачальника; </w:t>
            </w:r>
          </w:p>
          <w:p w14:paraId="2700F51B" w14:textId="463AF7D0"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та вважається врученим </w:t>
            </w:r>
            <w:r>
              <w:rPr>
                <w:rFonts w:ascii="Times New Roman" w:hAnsi="Times New Roman" w:cs="Times New Roman"/>
                <w:sz w:val="24"/>
                <w:szCs w:val="24"/>
              </w:rPr>
              <w:t>в момент направлення</w:t>
            </w:r>
            <w:r w:rsidRPr="00093A08">
              <w:rPr>
                <w:rFonts w:ascii="Times New Roman" w:hAnsi="Times New Roman" w:cs="Times New Roman"/>
                <w:sz w:val="24"/>
                <w:szCs w:val="24"/>
              </w:rPr>
              <w:t>. У разі якщо Споживач не погоджується з одним із способів отримання рахунку, він письмово повідомляє про це Постачальника.</w:t>
            </w:r>
          </w:p>
          <w:p w14:paraId="5E22BA88" w14:textId="3BFA1A9F" w:rsidR="00044224" w:rsidRPr="00EB99C1" w:rsidRDefault="005A09D6" w:rsidP="00044224">
            <w:pPr>
              <w:jc w:val="both"/>
              <w:rPr>
                <w:rFonts w:ascii="Times New Roman" w:hAnsi="Times New Roman" w:cs="Times New Roman"/>
                <w:sz w:val="24"/>
                <w:szCs w:val="24"/>
              </w:rPr>
            </w:pPr>
            <w:r w:rsidRPr="3455D96A">
              <w:rPr>
                <w:rFonts w:ascii="Times New Roman" w:hAnsi="Times New Roman" w:cs="Times New Roman"/>
                <w:sz w:val="24"/>
                <w:szCs w:val="24"/>
              </w:rPr>
              <w:t>Споживач зобов'язаний отримати від Постачальника рахунок на оплату вартості спожитої електричної енергії в обраний спосіб.У разі невжиття Споживачем дій щодо отримання рахунку від Постачальника, такий рахунок вважається отриманим ним належним чином 15 календарного дня місяця наступного за розрахунковим, а Споживач вважається ознайомленим з таким рахунком.</w:t>
            </w:r>
          </w:p>
          <w:p w14:paraId="525BB02F" w14:textId="0C508D54" w:rsidR="005A09D6" w:rsidRPr="00093A08" w:rsidRDefault="005A09D6" w:rsidP="005A09D6">
            <w:pPr>
              <w:jc w:val="both"/>
              <w:rPr>
                <w:rFonts w:ascii="Times New Roman" w:hAnsi="Times New Roman" w:cs="Times New Roman"/>
                <w:sz w:val="24"/>
                <w:szCs w:val="24"/>
                <w:lang w:val="ru-RU"/>
              </w:rPr>
            </w:pPr>
            <w:r w:rsidRPr="00EB99C1">
              <w:rPr>
                <w:rFonts w:ascii="Times New Roman" w:hAnsi="Times New Roman" w:cs="Times New Roman"/>
                <w:sz w:val="24"/>
                <w:szCs w:val="24"/>
              </w:rPr>
              <w:t>Для нових споживачів перший рахунок на попередню оплату надається протягом 3-х днів з дати подання Споживачем заяви – приєднання Постачальнику.</w:t>
            </w:r>
          </w:p>
        </w:tc>
      </w:tr>
      <w:tr w:rsidR="005A09D6" w14:paraId="0F8DF854" w14:textId="77777777" w:rsidTr="588C158A">
        <w:tc>
          <w:tcPr>
            <w:tcW w:w="1195" w:type="pct"/>
            <w:vMerge w:val="restart"/>
            <w:vAlign w:val="center"/>
          </w:tcPr>
          <w:p w14:paraId="2DDEB4C8" w14:textId="3C2752D2"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12.</w:t>
            </w:r>
            <w:r>
              <w:rPr>
                <w:rFonts w:ascii="Times New Roman" w:hAnsi="Times New Roman" w:cs="Times New Roman"/>
                <w:sz w:val="24"/>
                <w:szCs w:val="24"/>
              </w:rPr>
              <w:t xml:space="preserve"> </w:t>
            </w:r>
            <w:r w:rsidRPr="00093A08">
              <w:rPr>
                <w:rFonts w:ascii="Times New Roman" w:hAnsi="Times New Roman" w:cs="Times New Roman"/>
                <w:sz w:val="24"/>
                <w:szCs w:val="24"/>
              </w:rPr>
              <w:t>Порядок оплати</w:t>
            </w:r>
          </w:p>
        </w:tc>
        <w:tc>
          <w:tcPr>
            <w:tcW w:w="3805" w:type="pct"/>
          </w:tcPr>
          <w:p w14:paraId="53CA3632" w14:textId="5C81346F"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Оплата електричної енергії здійснюється Споживачем плановими авансовими </w:t>
            </w:r>
            <w:r w:rsidR="002864D2" w:rsidRPr="00093A08">
              <w:rPr>
                <w:rFonts w:ascii="Times New Roman" w:hAnsi="Times New Roman" w:cs="Times New Roman"/>
                <w:sz w:val="24"/>
                <w:szCs w:val="24"/>
              </w:rPr>
              <w:t>платежем</w:t>
            </w:r>
            <w:r w:rsidRPr="00093A08">
              <w:rPr>
                <w:rFonts w:ascii="Times New Roman" w:hAnsi="Times New Roman" w:cs="Times New Roman"/>
                <w:sz w:val="24"/>
                <w:szCs w:val="24"/>
              </w:rPr>
              <w:t xml:space="preserve"> </w:t>
            </w:r>
            <w:r w:rsidRPr="00162FBB">
              <w:rPr>
                <w:rFonts w:ascii="Times New Roman" w:hAnsi="Times New Roman" w:cs="Times New Roman"/>
                <w:sz w:val="24"/>
                <w:szCs w:val="24"/>
              </w:rPr>
              <w:t>2</w:t>
            </w:r>
            <w:r w:rsidR="00162FBB" w:rsidRPr="00162FBB">
              <w:rPr>
                <w:rFonts w:ascii="Times New Roman" w:hAnsi="Times New Roman" w:cs="Times New Roman"/>
                <w:sz w:val="24"/>
                <w:szCs w:val="24"/>
              </w:rPr>
              <w:t>0</w:t>
            </w:r>
            <w:r w:rsidRPr="00093A08">
              <w:rPr>
                <w:rFonts w:ascii="Times New Roman" w:hAnsi="Times New Roman" w:cs="Times New Roman"/>
                <w:sz w:val="24"/>
                <w:szCs w:val="24"/>
              </w:rPr>
              <w:t xml:space="preserve"> числа місяця, що передує розрахунковому, - у розмірі </w:t>
            </w:r>
            <w:r w:rsidR="00162FBB" w:rsidRPr="00162FBB">
              <w:rPr>
                <w:rFonts w:ascii="Times New Roman" w:hAnsi="Times New Roman" w:cs="Times New Roman"/>
                <w:sz w:val="24"/>
                <w:szCs w:val="24"/>
              </w:rPr>
              <w:t>10</w:t>
            </w:r>
            <w:r w:rsidRPr="00093A08">
              <w:rPr>
                <w:rFonts w:ascii="Times New Roman" w:hAnsi="Times New Roman" w:cs="Times New Roman"/>
                <w:sz w:val="24"/>
                <w:szCs w:val="24"/>
              </w:rPr>
              <w:t xml:space="preserve">0% вартості замовленого обсягу споживання електроенергії на розрахунковий період; </w:t>
            </w:r>
          </w:p>
        </w:tc>
      </w:tr>
      <w:tr w:rsidR="005A09D6" w14:paraId="3E818A08" w14:textId="77777777" w:rsidTr="588C158A">
        <w:tc>
          <w:tcPr>
            <w:tcW w:w="1195" w:type="pct"/>
            <w:vMerge/>
            <w:vAlign w:val="center"/>
          </w:tcPr>
          <w:p w14:paraId="413487E8" w14:textId="77777777" w:rsidR="005A09D6" w:rsidRPr="00093A08" w:rsidRDefault="005A09D6" w:rsidP="005A09D6">
            <w:pPr>
              <w:jc w:val="center"/>
              <w:rPr>
                <w:rFonts w:ascii="Times New Roman" w:hAnsi="Times New Roman" w:cs="Times New Roman"/>
                <w:sz w:val="24"/>
                <w:szCs w:val="24"/>
              </w:rPr>
            </w:pPr>
          </w:p>
        </w:tc>
        <w:tc>
          <w:tcPr>
            <w:tcW w:w="3805" w:type="pct"/>
          </w:tcPr>
          <w:p w14:paraId="174EA0F5" w14:textId="3D73C910"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На підставі отриманих даних комерційного обліку, після закінчення розрахункового періоду Постачальник, з урахуванням суми здійсненої Споживачем попередньої оплати, проводить коригування обсягів оплати, що була здійснена Споживачем за розрахунковий період, та формує Споживачу рахунок на оплату за фактично спожиту електричну енергію у такому розрахунковому періоді, з відображенням проведеного перерахунку (зменшенням платежу на суму здійсненої попередньої оплати). Якщо обсяг фактично спожитої </w:t>
            </w:r>
            <w:r w:rsidRPr="00093A08">
              <w:rPr>
                <w:rFonts w:ascii="Times New Roman" w:hAnsi="Times New Roman" w:cs="Times New Roman"/>
                <w:sz w:val="24"/>
                <w:szCs w:val="24"/>
              </w:rPr>
              <w:lastRenderedPageBreak/>
              <w:t>електричної енергії виявиться більшим ніж прогнозований, різниця між сумою попередньої оплати та вартістю фактично спожитої електричної енергії має бути сплачена Споживачем протягом 5 робочих днів з дня отримання рахунку за фактично спожиту електричну енергію або самостійно сформованим платіжним документом. Якщо обсяг фактично спожитої електричної енергії виявиться меншим ніж прогнозований, то надлишкові кошти зараховуються як оплата наступних періодів. Якщо Споживач не оплатив виставлений платіжний документ або оплатив його із запізненням або якщо він перебуває в стані ліквідації чи реорганізації, готується до ліквідації, Постачальник має право, встановити більш короткий розрахунковий період або звернутися з вимогою щодо надання гарантій належного виконання договірних зобов’язань, а Споживач зобов’язаний задовільнити таку вимогу.</w:t>
            </w:r>
          </w:p>
        </w:tc>
      </w:tr>
      <w:tr w:rsidR="005A09D6" w14:paraId="052FEB71" w14:textId="77777777" w:rsidTr="588C158A">
        <w:tc>
          <w:tcPr>
            <w:tcW w:w="1195" w:type="pct"/>
            <w:vMerge w:val="restart"/>
            <w:vAlign w:val="center"/>
          </w:tcPr>
          <w:p w14:paraId="167C26CA" w14:textId="4BA112D6"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lastRenderedPageBreak/>
              <w:t>13.</w:t>
            </w:r>
            <w:r>
              <w:rPr>
                <w:rFonts w:ascii="Times New Roman" w:hAnsi="Times New Roman" w:cs="Times New Roman"/>
                <w:sz w:val="24"/>
                <w:szCs w:val="24"/>
              </w:rPr>
              <w:t xml:space="preserve"> </w:t>
            </w:r>
            <w:r w:rsidRPr="00093A08">
              <w:rPr>
                <w:rFonts w:ascii="Times New Roman" w:hAnsi="Times New Roman" w:cs="Times New Roman"/>
                <w:sz w:val="24"/>
                <w:szCs w:val="24"/>
              </w:rPr>
              <w:t>Спосіб оплати</w:t>
            </w:r>
          </w:p>
        </w:tc>
        <w:tc>
          <w:tcPr>
            <w:tcW w:w="3805" w:type="pct"/>
          </w:tcPr>
          <w:p w14:paraId="33E8CDE7" w14:textId="0CACC4B2"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Розрахунки за електричну енергію здійснюються виключно в грошовій формі відповідно до умов Договору, шляхом перерахування коштів</w:t>
            </w:r>
            <w:r>
              <w:rPr>
                <w:rFonts w:ascii="Times New Roman" w:hAnsi="Times New Roman" w:cs="Times New Roman"/>
                <w:sz w:val="24"/>
                <w:szCs w:val="24"/>
              </w:rPr>
              <w:t xml:space="preserve"> </w:t>
            </w:r>
            <w:r w:rsidRPr="00093A08">
              <w:rPr>
                <w:rFonts w:ascii="Times New Roman" w:hAnsi="Times New Roman" w:cs="Times New Roman"/>
                <w:sz w:val="24"/>
                <w:szCs w:val="24"/>
              </w:rPr>
              <w:t>на поточний рахунок із спеціальним режимом використання Постачальника, вказаний у рахунку на оплату та в Договорі про постачання електричної енергії споживачу.</w:t>
            </w:r>
          </w:p>
        </w:tc>
      </w:tr>
      <w:tr w:rsidR="005A09D6" w14:paraId="310BC241" w14:textId="77777777" w:rsidTr="588C158A">
        <w:tc>
          <w:tcPr>
            <w:tcW w:w="1195" w:type="pct"/>
            <w:vMerge/>
            <w:vAlign w:val="center"/>
          </w:tcPr>
          <w:p w14:paraId="01F040FF" w14:textId="77777777" w:rsidR="005A09D6" w:rsidRPr="00093A08" w:rsidRDefault="005A09D6" w:rsidP="005A09D6">
            <w:pPr>
              <w:jc w:val="center"/>
              <w:rPr>
                <w:rFonts w:ascii="Times New Roman" w:hAnsi="Times New Roman" w:cs="Times New Roman"/>
                <w:sz w:val="24"/>
                <w:szCs w:val="24"/>
              </w:rPr>
            </w:pPr>
          </w:p>
        </w:tc>
        <w:tc>
          <w:tcPr>
            <w:tcW w:w="3805" w:type="pct"/>
          </w:tcPr>
          <w:p w14:paraId="78FA2FE1" w14:textId="62EB1B31" w:rsidR="005A09D6" w:rsidRPr="00093A08" w:rsidRDefault="005A09D6" w:rsidP="005A09D6">
            <w:pPr>
              <w:rPr>
                <w:rFonts w:ascii="Times New Roman" w:hAnsi="Times New Roman" w:cs="Times New Roman"/>
                <w:sz w:val="24"/>
                <w:szCs w:val="24"/>
              </w:rPr>
            </w:pPr>
            <w:r w:rsidRPr="61F80659">
              <w:rPr>
                <w:rFonts w:ascii="Times New Roman" w:hAnsi="Times New Roman" w:cs="Times New Roman"/>
                <w:sz w:val="24"/>
                <w:szCs w:val="24"/>
              </w:rPr>
              <w:t xml:space="preserve">Споживач не обмежується у праві здійснювати оплату за Договором через: банківську платіжну систему; онлайн переказ; </w:t>
            </w:r>
            <w:r w:rsidRPr="000F2BF6">
              <w:rPr>
                <w:rFonts w:ascii="Times New Roman" w:hAnsi="Times New Roman" w:cs="Times New Roman"/>
                <w:sz w:val="24"/>
                <w:szCs w:val="24"/>
              </w:rPr>
              <w:t>поштовий переказ; в інший, не заборонений чинним законодавством спосіб.</w:t>
            </w:r>
          </w:p>
        </w:tc>
      </w:tr>
      <w:tr w:rsidR="005A09D6" w14:paraId="33A9C741" w14:textId="77777777" w:rsidTr="588C158A">
        <w:tc>
          <w:tcPr>
            <w:tcW w:w="1195" w:type="pct"/>
            <w:vAlign w:val="center"/>
          </w:tcPr>
          <w:p w14:paraId="52741F38" w14:textId="7D5C7FB1" w:rsidR="005A09D6" w:rsidRPr="00093A08" w:rsidRDefault="005A09D6" w:rsidP="005A09D6">
            <w:pPr>
              <w:jc w:val="center"/>
              <w:rPr>
                <w:rFonts w:ascii="Times New Roman" w:hAnsi="Times New Roman" w:cs="Times New Roman"/>
                <w:sz w:val="24"/>
                <w:szCs w:val="24"/>
              </w:rPr>
            </w:pPr>
            <w:r w:rsidRPr="61F80659">
              <w:rPr>
                <w:rFonts w:ascii="Times New Roman" w:hAnsi="Times New Roman" w:cs="Times New Roman"/>
                <w:sz w:val="24"/>
                <w:szCs w:val="24"/>
              </w:rPr>
              <w:t>14. Розмір пені за порушення строку оплати</w:t>
            </w:r>
          </w:p>
        </w:tc>
        <w:tc>
          <w:tcPr>
            <w:tcW w:w="3805" w:type="pct"/>
          </w:tcPr>
          <w:p w14:paraId="4BDE8BE6" w14:textId="35510B45"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що нараховується протягом всього періоду прострочення зобов'язання за кожний день прострочення платежу, по день фактичної оплати, а також 3% річних від суми боргу та інфляційні втрати з урахуванням встановленого індексу інфляції за весь період прострочення.</w:t>
            </w:r>
          </w:p>
        </w:tc>
      </w:tr>
      <w:tr w:rsidR="005A09D6" w14:paraId="2F862C00" w14:textId="77777777" w:rsidTr="588C158A">
        <w:tc>
          <w:tcPr>
            <w:tcW w:w="1195" w:type="pct"/>
            <w:vAlign w:val="center"/>
          </w:tcPr>
          <w:p w14:paraId="702DFCD5" w14:textId="609BB557"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15.</w:t>
            </w:r>
            <w:r>
              <w:rPr>
                <w:rFonts w:ascii="Times New Roman" w:hAnsi="Times New Roman" w:cs="Times New Roman"/>
                <w:sz w:val="24"/>
                <w:szCs w:val="24"/>
              </w:rPr>
              <w:t xml:space="preserve"> </w:t>
            </w:r>
            <w:r w:rsidRPr="00093A08">
              <w:rPr>
                <w:rFonts w:ascii="Times New Roman" w:hAnsi="Times New Roman" w:cs="Times New Roman"/>
                <w:sz w:val="24"/>
                <w:szCs w:val="24"/>
              </w:rPr>
              <w:t>Інші штрафні санкції</w:t>
            </w:r>
          </w:p>
        </w:tc>
        <w:tc>
          <w:tcPr>
            <w:tcW w:w="3805" w:type="pct"/>
          </w:tcPr>
          <w:p w14:paraId="401CCFFD"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У разі дострокового припинення (розірвання) Договору за ініціативою Споживача, Споживач зобов'язаний сплатити Постачальнику штраф у розмірі вартості електричної енергії, замовленої Споживачем як прогнозований договірний обсяг споживання електричної енергії в місяці, в якому Постачальником було отримано повідомлення про дострокове припинення (розірвання) Договору. </w:t>
            </w:r>
          </w:p>
          <w:p w14:paraId="2F497124" w14:textId="5C3D8B7B"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У випадку не повідомлення або повідомлення з порушенням строків Постачальника про дострокове припинення (розірвання) Договору Споживачем (тобто менше ніж за 21 календарний день до дати припинення (розірвання) Договору)), Споживач сплачує штраф у розмірі подвійної вартості електричної енергії, спожитої за розрахунковий період, який передував даті отримання Постачальником повідомлення (інформації) про необхідність припинення дії (розірвання) Договору (направлене споживачем, адміністратором комерційного обліку, оператором системи тощо). Штрафні санкції, передбачені даним розділом Комерційної пропозиції, не застосовуються у випадку, якщо Договір буде розірвано у разі не згоди Споживача із новими умовами Договору, в тому числі щодо зміни ціни за електричну енергію, за умови, що Споживачем буде надано про це відповідне повідомлення Постачальнику не </w:t>
            </w:r>
            <w:r w:rsidRPr="00093A08">
              <w:rPr>
                <w:rFonts w:ascii="Times New Roman" w:hAnsi="Times New Roman" w:cs="Times New Roman"/>
                <w:sz w:val="24"/>
                <w:szCs w:val="24"/>
              </w:rPr>
              <w:lastRenderedPageBreak/>
              <w:t>пізніше ніж за 6 календарних днів до початку розрахункового періоду, з якого такі умови запроваджуються.</w:t>
            </w:r>
          </w:p>
        </w:tc>
      </w:tr>
      <w:tr w:rsidR="005A09D6" w14:paraId="46FF7B6B" w14:textId="77777777" w:rsidTr="588C158A">
        <w:tc>
          <w:tcPr>
            <w:tcW w:w="1195" w:type="pct"/>
            <w:vAlign w:val="center"/>
          </w:tcPr>
          <w:p w14:paraId="48CFD8D0" w14:textId="5088B72D"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lastRenderedPageBreak/>
              <w:t>16.</w:t>
            </w:r>
            <w:r>
              <w:rPr>
                <w:rFonts w:ascii="Times New Roman" w:hAnsi="Times New Roman" w:cs="Times New Roman"/>
                <w:sz w:val="24"/>
                <w:szCs w:val="24"/>
              </w:rPr>
              <w:t xml:space="preserve"> </w:t>
            </w:r>
            <w:r w:rsidRPr="00093A08">
              <w:rPr>
                <w:rFonts w:ascii="Times New Roman" w:hAnsi="Times New Roman" w:cs="Times New Roman"/>
                <w:sz w:val="24"/>
                <w:szCs w:val="24"/>
              </w:rPr>
              <w:t>Компенсація за недотримання комерційної якості надання послуг</w:t>
            </w:r>
          </w:p>
        </w:tc>
        <w:tc>
          <w:tcPr>
            <w:tcW w:w="3805" w:type="pct"/>
          </w:tcPr>
          <w:p w14:paraId="68BD735C" w14:textId="6C17E911"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A09D6" w14:paraId="1EA654B4" w14:textId="77777777" w:rsidTr="588C158A">
        <w:tc>
          <w:tcPr>
            <w:tcW w:w="1195" w:type="pct"/>
            <w:vAlign w:val="center"/>
          </w:tcPr>
          <w:p w14:paraId="6158769B" w14:textId="27E81AC2"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17.</w:t>
            </w:r>
            <w:r>
              <w:rPr>
                <w:rFonts w:ascii="Times New Roman" w:hAnsi="Times New Roman" w:cs="Times New Roman"/>
                <w:sz w:val="24"/>
                <w:szCs w:val="24"/>
              </w:rPr>
              <w:t xml:space="preserve"> </w:t>
            </w:r>
            <w:r w:rsidRPr="00093A08">
              <w:rPr>
                <w:rFonts w:ascii="Times New Roman" w:hAnsi="Times New Roman" w:cs="Times New Roman"/>
                <w:sz w:val="24"/>
                <w:szCs w:val="24"/>
              </w:rPr>
              <w:t>Строк дії договору та умови пролонгації</w:t>
            </w:r>
          </w:p>
        </w:tc>
        <w:tc>
          <w:tcPr>
            <w:tcW w:w="3805" w:type="pct"/>
          </w:tcPr>
          <w:p w14:paraId="165AC43A" w14:textId="5DB223E2" w:rsidR="005A09D6" w:rsidRDefault="005A09D6" w:rsidP="005A09D6">
            <w:pPr>
              <w:jc w:val="both"/>
              <w:rPr>
                <w:rFonts w:ascii="Times New Roman" w:hAnsi="Times New Roman" w:cs="Times New Roman"/>
                <w:sz w:val="24"/>
                <w:szCs w:val="24"/>
              </w:rPr>
            </w:pPr>
            <w:r w:rsidRPr="78B9B957">
              <w:rPr>
                <w:rFonts w:ascii="Times New Roman" w:hAnsi="Times New Roman" w:cs="Times New Roman"/>
                <w:sz w:val="24"/>
                <w:szCs w:val="24"/>
              </w:rPr>
              <w:t xml:space="preserve">Для споживачів, у яких є чинний Договір про постачання електричної енергії споживачу, постачання електричної енергії на умовах даної комерційної пропозиції здійснюється з “___” _______ 20____ року. Для інших споживачів Договір набирає чинності з дня, наступного за днем отримання Постачальником заяви-приєднання Споживача до умов Договору про постачання електричної енергії споживачу, в якій повідомляється про обрання Комерційної пропозиції </w:t>
            </w:r>
            <w:r w:rsidRPr="00CB2966">
              <w:rPr>
                <w:rFonts w:ascii="Times New Roman" w:hAnsi="Times New Roman" w:cs="Times New Roman"/>
                <w:sz w:val="24"/>
                <w:szCs w:val="24"/>
              </w:rPr>
              <w:t>«</w:t>
            </w:r>
            <w:r w:rsidR="00E975BF">
              <w:rPr>
                <w:rFonts w:ascii="Times New Roman" w:hAnsi="Times New Roman" w:cs="Times New Roman"/>
                <w:b/>
                <w:bCs/>
                <w:sz w:val="24"/>
                <w:szCs w:val="24"/>
              </w:rPr>
              <w:t>Вигідна</w:t>
            </w:r>
            <w:r w:rsidRPr="00CB2966">
              <w:rPr>
                <w:rFonts w:ascii="Times New Roman" w:hAnsi="Times New Roman" w:cs="Times New Roman"/>
                <w:sz w:val="24"/>
                <w:szCs w:val="24"/>
              </w:rPr>
              <w:t>»,</w:t>
            </w:r>
            <w:r w:rsidRPr="78B9B957">
              <w:rPr>
                <w:rFonts w:ascii="Times New Roman" w:hAnsi="Times New Roman" w:cs="Times New Roman"/>
                <w:sz w:val="24"/>
                <w:szCs w:val="24"/>
              </w:rPr>
              <w:t xml:space="preserve"> якщо протягом трьох робочих днів Споживачу не буде повідомлено про невідповідність його критеріям обраної комерційної пропозиції. Договір укладається на строк з “___” _______ 202___ року до “___” _______ 202___ року (не менше 3 місяці). Договір вважається продовженим на той самий термін на тих самих умовах, що передбачені Договором, якщо за 21 календарний день до закінчення терміну дії Договору жодна зі Сторін не заявить про припинення його дії або перегляд його умов. </w:t>
            </w:r>
          </w:p>
          <w:p w14:paraId="78AB3518" w14:textId="5B20DA12"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Договір може бути розірвано за ініціативою будь-якої зі Сторін у порядку, визначеному законодавством України та цим Договором, але в будь-якому випадку Договір діє до повної оплати заборгованості за Договором, включаючи штрафні санкції. </w:t>
            </w:r>
          </w:p>
          <w:p w14:paraId="19CB130B" w14:textId="2786C7C9"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Інформація про зміни даної комерційної пропозиції оприлюднюється на офіційному веб-сайті Постачальника не пізніше ніж за 20 календарних днів до строку введення відповідних змін.</w:t>
            </w:r>
          </w:p>
        </w:tc>
      </w:tr>
      <w:tr w:rsidR="005A09D6" w14:paraId="29FD7BA8" w14:textId="77777777" w:rsidTr="588C158A">
        <w:tc>
          <w:tcPr>
            <w:tcW w:w="1195" w:type="pct"/>
            <w:vAlign w:val="center"/>
          </w:tcPr>
          <w:p w14:paraId="1C029CCA" w14:textId="0E573D0D"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18.</w:t>
            </w:r>
            <w:r>
              <w:rPr>
                <w:rFonts w:ascii="Times New Roman" w:hAnsi="Times New Roman" w:cs="Times New Roman"/>
                <w:sz w:val="24"/>
                <w:szCs w:val="24"/>
              </w:rPr>
              <w:t xml:space="preserve"> </w:t>
            </w:r>
            <w:r w:rsidRPr="00093A08">
              <w:rPr>
                <w:rFonts w:ascii="Times New Roman" w:hAnsi="Times New Roman" w:cs="Times New Roman"/>
                <w:sz w:val="24"/>
                <w:szCs w:val="24"/>
              </w:rPr>
              <w:t>Суттєві умови</w:t>
            </w:r>
          </w:p>
        </w:tc>
        <w:tc>
          <w:tcPr>
            <w:tcW w:w="3805" w:type="pct"/>
          </w:tcPr>
          <w:p w14:paraId="33B497C6"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Споживач зобов’язується письмово повідомити про зміну будь яких реквізитів не пізніше, ніж через 10 днів після їх настання. У разі незгоди зі зміною будь – яких умов Договору, про які постачальник проінформував Споживача належним чином, Споживач зобов’язаний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 </w:t>
            </w:r>
          </w:p>
          <w:p w14:paraId="5F32D0A4"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У разі, якщо Споживач не повідомив Постачальника про свою незгоду та про дострокове розірвання Договору з цієї підстави, вважається, що Споживач погодився з новими умовами Договору. У такому випадку двостороння угода про зміну умов Договору (за необхідності), підписується із застосування положень частини 3 статті 631 ЦК України. </w:t>
            </w:r>
          </w:p>
          <w:p w14:paraId="2B45A5FC" w14:textId="322F6497"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У разі суперечностей (невідповідності) будь-якої з умов Договору умовам, викладеним у цій Комерційній пропозиції, застосовуються, умови цієї Комерційної пропозиції.</w:t>
            </w:r>
          </w:p>
        </w:tc>
      </w:tr>
      <w:tr w:rsidR="005A09D6" w14:paraId="165F6DD0" w14:textId="77777777" w:rsidTr="588C158A">
        <w:tc>
          <w:tcPr>
            <w:tcW w:w="1195" w:type="pct"/>
            <w:vAlign w:val="center"/>
          </w:tcPr>
          <w:p w14:paraId="067108EC" w14:textId="43CDD485"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t>19.</w:t>
            </w:r>
            <w:r>
              <w:rPr>
                <w:rFonts w:ascii="Times New Roman" w:hAnsi="Times New Roman" w:cs="Times New Roman"/>
                <w:sz w:val="24"/>
                <w:szCs w:val="24"/>
              </w:rPr>
              <w:t xml:space="preserve"> </w:t>
            </w:r>
            <w:r w:rsidRPr="00093A08">
              <w:rPr>
                <w:rFonts w:ascii="Times New Roman" w:hAnsi="Times New Roman" w:cs="Times New Roman"/>
                <w:sz w:val="24"/>
                <w:szCs w:val="24"/>
              </w:rPr>
              <w:t>Статус платника податку на додану вартість</w:t>
            </w:r>
          </w:p>
        </w:tc>
        <w:tc>
          <w:tcPr>
            <w:tcW w:w="3805" w:type="pct"/>
          </w:tcPr>
          <w:p w14:paraId="49CE6DCE" w14:textId="45339C5E"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У разі набуття статусу платника податку на додану вартість, Споживач зобов'язаний повідомити Постачальника протягом 10 робочих днів, шляхом направлення письмового повідомлення та копії документів, що підтверджують статус платника податку (витяг з реєстру платників ПДВ/Свідоцтва платника ПДВ) на юридичну адресу Постачальника, </w:t>
            </w:r>
            <w:r w:rsidRPr="00093A08">
              <w:rPr>
                <w:rFonts w:ascii="Times New Roman" w:hAnsi="Times New Roman" w:cs="Times New Roman"/>
                <w:sz w:val="24"/>
                <w:szCs w:val="24"/>
              </w:rPr>
              <w:lastRenderedPageBreak/>
              <w:t>з одночасним направленням скан</w:t>
            </w:r>
            <w:r>
              <w:rPr>
                <w:rFonts w:ascii="Times New Roman" w:hAnsi="Times New Roman" w:cs="Times New Roman"/>
                <w:sz w:val="24"/>
                <w:szCs w:val="24"/>
              </w:rPr>
              <w:t>-</w:t>
            </w:r>
            <w:r w:rsidRPr="00093A08">
              <w:rPr>
                <w:rFonts w:ascii="Times New Roman" w:hAnsi="Times New Roman" w:cs="Times New Roman"/>
                <w:sz w:val="24"/>
                <w:szCs w:val="24"/>
              </w:rPr>
              <w:t>копій документів на електронну адресу</w:t>
            </w:r>
            <w:r w:rsidR="00E975BF">
              <w:rPr>
                <w:rFonts w:ascii="Times New Roman" w:hAnsi="Times New Roman" w:cs="Times New Roman"/>
                <w:sz w:val="24"/>
                <w:szCs w:val="24"/>
              </w:rPr>
              <w:t>:</w:t>
            </w:r>
            <w:r w:rsidRPr="00093A08">
              <w:rPr>
                <w:rFonts w:ascii="Times New Roman" w:hAnsi="Times New Roman" w:cs="Times New Roman"/>
                <w:sz w:val="24"/>
                <w:szCs w:val="24"/>
              </w:rPr>
              <w:t xml:space="preserve"> </w:t>
            </w:r>
            <w:r w:rsidR="00E975BF" w:rsidRPr="00E975BF">
              <w:t>info@esu.group</w:t>
            </w:r>
            <w:r>
              <w:rPr>
                <w:rFonts w:ascii="Times New Roman" w:hAnsi="Times New Roman" w:cs="Times New Roman"/>
                <w:sz w:val="24"/>
                <w:szCs w:val="24"/>
              </w:rPr>
              <w:t>.</w:t>
            </w:r>
          </w:p>
          <w:p w14:paraId="396FF038" w14:textId="39A6A9D7"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 У разі не повідомлення Споживачем Постачальника про набуття статусу платника ПДВ, Споживач не має права вимагати реєстрації податкової накладної до дати надання документів, які підтверджують статус платника податку на додану вартість.</w:t>
            </w:r>
          </w:p>
        </w:tc>
      </w:tr>
      <w:tr w:rsidR="005A09D6" w14:paraId="11922BFD" w14:textId="77777777" w:rsidTr="588C158A">
        <w:tc>
          <w:tcPr>
            <w:tcW w:w="1195" w:type="pct"/>
            <w:vAlign w:val="center"/>
          </w:tcPr>
          <w:p w14:paraId="485E8981" w14:textId="4A5EC004" w:rsidR="005A09D6" w:rsidRPr="00093A08" w:rsidRDefault="005A09D6" w:rsidP="005A09D6">
            <w:pPr>
              <w:jc w:val="center"/>
              <w:rPr>
                <w:rFonts w:ascii="Times New Roman" w:hAnsi="Times New Roman" w:cs="Times New Roman"/>
                <w:sz w:val="24"/>
                <w:szCs w:val="24"/>
              </w:rPr>
            </w:pPr>
            <w:r w:rsidRPr="00093A08">
              <w:rPr>
                <w:rFonts w:ascii="Times New Roman" w:hAnsi="Times New Roman" w:cs="Times New Roman"/>
                <w:sz w:val="24"/>
                <w:szCs w:val="24"/>
              </w:rPr>
              <w:lastRenderedPageBreak/>
              <w:t>20.</w:t>
            </w:r>
            <w:r>
              <w:rPr>
                <w:rFonts w:ascii="Times New Roman" w:hAnsi="Times New Roman" w:cs="Times New Roman"/>
                <w:sz w:val="24"/>
                <w:szCs w:val="24"/>
              </w:rPr>
              <w:t xml:space="preserve"> </w:t>
            </w:r>
            <w:r w:rsidRPr="00093A08">
              <w:rPr>
                <w:rFonts w:ascii="Times New Roman" w:hAnsi="Times New Roman" w:cs="Times New Roman"/>
                <w:sz w:val="24"/>
                <w:szCs w:val="24"/>
              </w:rPr>
              <w:t>Інформування</w:t>
            </w:r>
          </w:p>
        </w:tc>
        <w:tc>
          <w:tcPr>
            <w:tcW w:w="3805" w:type="pct"/>
          </w:tcPr>
          <w:p w14:paraId="78FFE024"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Дана комерційна пропозиція є публічною та є невід’ємною частиною Договору. У разі обрання іншої комерційної пропозиції, Споживач письмово повідомляє про це Постачальника. 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 </w:t>
            </w:r>
          </w:p>
          <w:p w14:paraId="2F270F42" w14:textId="6BE1F4A0" w:rsidR="005A09D6" w:rsidRPr="009E1B2A"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4D58F4EC" w14:textId="77777777" w:rsidR="004D7762" w:rsidRPr="009E1B2A" w:rsidRDefault="004D7762" w:rsidP="005A09D6">
            <w:pPr>
              <w:jc w:val="both"/>
              <w:rPr>
                <w:rFonts w:ascii="Times New Roman" w:hAnsi="Times New Roman" w:cs="Times New Roman"/>
                <w:sz w:val="24"/>
                <w:szCs w:val="24"/>
              </w:rPr>
            </w:pPr>
          </w:p>
          <w:p w14:paraId="5C9881EC" w14:textId="77777777" w:rsidR="005A09D6"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xml:space="preserve">- на офіційному сайті Постачальника у мережі Інтернет; </w:t>
            </w:r>
          </w:p>
          <w:p w14:paraId="6DCDF739" w14:textId="07E55DBF" w:rsidR="005A09D6" w:rsidRPr="00093A08" w:rsidRDefault="005A09D6" w:rsidP="005A09D6">
            <w:pPr>
              <w:jc w:val="both"/>
              <w:rPr>
                <w:rFonts w:ascii="Times New Roman" w:hAnsi="Times New Roman" w:cs="Times New Roman"/>
                <w:sz w:val="24"/>
                <w:szCs w:val="24"/>
              </w:rPr>
            </w:pPr>
            <w:r w:rsidRPr="00093A08">
              <w:rPr>
                <w:rFonts w:ascii="Times New Roman" w:hAnsi="Times New Roman" w:cs="Times New Roman"/>
                <w:sz w:val="24"/>
                <w:szCs w:val="24"/>
              </w:rPr>
              <w:t>- засобами електронного зв'язку на електронну адресу, вказану у заяві приєднання до умов Договору</w:t>
            </w:r>
            <w:r>
              <w:rPr>
                <w:rFonts w:ascii="Times New Roman" w:hAnsi="Times New Roman" w:cs="Times New Roman"/>
                <w:sz w:val="24"/>
                <w:szCs w:val="24"/>
              </w:rPr>
              <w:t>.</w:t>
            </w:r>
          </w:p>
        </w:tc>
      </w:tr>
    </w:tbl>
    <w:p w14:paraId="3E47A77E" w14:textId="33E56290" w:rsidR="00F05D08" w:rsidRPr="00093A08" w:rsidRDefault="00F05D08" w:rsidP="001F6F8C"/>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05D08" w:rsidRPr="00093A08" w14:paraId="74E42277" w14:textId="77777777" w:rsidTr="00353527">
        <w:tc>
          <w:tcPr>
            <w:tcW w:w="9629" w:type="dxa"/>
            <w:gridSpan w:val="2"/>
          </w:tcPr>
          <w:p w14:paraId="0B6D22FE" w14:textId="2D7A710B" w:rsidR="00F05D08" w:rsidRPr="0080417A" w:rsidRDefault="00105C0A" w:rsidP="00961A69">
            <w:pPr>
              <w:rPr>
                <w:rFonts w:ascii="Times New Roman" w:hAnsi="Times New Roman" w:cs="Times New Roman"/>
                <w:sz w:val="24"/>
                <w:szCs w:val="24"/>
              </w:rPr>
            </w:pPr>
            <w:r w:rsidRPr="0080417A">
              <w:rPr>
                <w:rFonts w:ascii="Times New Roman" w:hAnsi="Times New Roman" w:cs="Times New Roman"/>
                <w:sz w:val="24"/>
                <w:szCs w:val="24"/>
              </w:rPr>
              <w:t>Відмітка про підписання Споживачем Комерційної пропозиції:</w:t>
            </w:r>
          </w:p>
        </w:tc>
      </w:tr>
      <w:tr w:rsidR="00353527" w:rsidRPr="00093A08" w14:paraId="2AEA6D12" w14:textId="77777777" w:rsidTr="00353527">
        <w:trPr>
          <w:trHeight w:val="488"/>
        </w:trPr>
        <w:tc>
          <w:tcPr>
            <w:tcW w:w="4814" w:type="dxa"/>
          </w:tcPr>
          <w:p w14:paraId="137DEF00" w14:textId="77777777" w:rsidR="00353527" w:rsidRPr="006A367B" w:rsidRDefault="00353527" w:rsidP="006D7167">
            <w:pPr>
              <w:jc w:val="both"/>
              <w:rPr>
                <w:rFonts w:ascii="Times New Roman" w:hAnsi="Times New Roman" w:cs="Times New Roman"/>
                <w:sz w:val="24"/>
                <w:szCs w:val="24"/>
              </w:rPr>
            </w:pPr>
          </w:p>
          <w:p w14:paraId="6F0B3846" w14:textId="13677439" w:rsidR="00353527" w:rsidRPr="006A367B" w:rsidRDefault="00961A69" w:rsidP="006D7167">
            <w:pPr>
              <w:jc w:val="both"/>
              <w:rPr>
                <w:rFonts w:ascii="Times New Roman" w:hAnsi="Times New Roman" w:cs="Times New Roman"/>
                <w:color w:val="FFFFFF" w:themeColor="background1"/>
                <w:sz w:val="20"/>
                <w:szCs w:val="20"/>
              </w:rPr>
            </w:pPr>
            <w:r w:rsidRPr="006A367B">
              <w:rPr>
                <w:rFonts w:ascii="Times New Roman" w:hAnsi="Times New Roman" w:cs="Times New Roman"/>
                <w:sz w:val="20"/>
                <w:szCs w:val="20"/>
              </w:rPr>
              <w:t>______________</w:t>
            </w:r>
            <w:r w:rsidRPr="006A367B">
              <w:rPr>
                <w:rFonts w:ascii="Times New Roman" w:hAnsi="Times New Roman" w:cs="Times New Roman"/>
                <w:color w:val="FFFFFF" w:themeColor="background1"/>
                <w:sz w:val="20"/>
                <w:szCs w:val="20"/>
              </w:rPr>
              <w:t>ііііііііііі</w:t>
            </w:r>
            <w:r w:rsidRPr="006A367B">
              <w:rPr>
                <w:rFonts w:ascii="Times New Roman" w:hAnsi="Times New Roman" w:cs="Times New Roman"/>
                <w:sz w:val="20"/>
                <w:szCs w:val="20"/>
              </w:rPr>
              <w:t>____________________</w:t>
            </w:r>
          </w:p>
        </w:tc>
        <w:tc>
          <w:tcPr>
            <w:tcW w:w="4815" w:type="dxa"/>
          </w:tcPr>
          <w:p w14:paraId="0705B88A" w14:textId="53DC9D7C" w:rsidR="00353527" w:rsidRPr="006A367B" w:rsidRDefault="00353527" w:rsidP="006D7167">
            <w:pPr>
              <w:jc w:val="both"/>
              <w:rPr>
                <w:rFonts w:ascii="Times New Roman" w:hAnsi="Times New Roman" w:cs="Times New Roman"/>
                <w:sz w:val="20"/>
                <w:szCs w:val="20"/>
              </w:rPr>
            </w:pPr>
            <w:r w:rsidRPr="006A367B">
              <w:rPr>
                <w:rFonts w:ascii="Times New Roman" w:hAnsi="Times New Roman" w:cs="Times New Roman"/>
                <w:sz w:val="20"/>
                <w:szCs w:val="20"/>
              </w:rPr>
              <w:br/>
            </w:r>
            <w:r w:rsidR="00961A69" w:rsidRPr="006A367B">
              <w:rPr>
                <w:rFonts w:ascii="Times New Roman" w:hAnsi="Times New Roman" w:cs="Times New Roman"/>
                <w:sz w:val="20"/>
                <w:szCs w:val="20"/>
              </w:rPr>
              <w:t>_________________________________</w:t>
            </w:r>
          </w:p>
          <w:p w14:paraId="1C7AB7D0" w14:textId="2DA3114F" w:rsidR="00353527" w:rsidRPr="006A367B" w:rsidRDefault="00353527" w:rsidP="006D7167">
            <w:pPr>
              <w:jc w:val="both"/>
              <w:rPr>
                <w:rFonts w:ascii="Times New Roman" w:hAnsi="Times New Roman" w:cs="Times New Roman"/>
                <w:sz w:val="20"/>
                <w:szCs w:val="20"/>
              </w:rPr>
            </w:pPr>
          </w:p>
        </w:tc>
      </w:tr>
      <w:tr w:rsidR="00353527" w:rsidRPr="00093A08" w14:paraId="47CBA3CB" w14:textId="77777777" w:rsidTr="00353527">
        <w:trPr>
          <w:trHeight w:val="288"/>
        </w:trPr>
        <w:tc>
          <w:tcPr>
            <w:tcW w:w="4814" w:type="dxa"/>
          </w:tcPr>
          <w:p w14:paraId="39C89472" w14:textId="7F950B60" w:rsidR="00353527" w:rsidRDefault="00353527" w:rsidP="006D7167">
            <w:pPr>
              <w:jc w:val="both"/>
              <w:rPr>
                <w:rFonts w:ascii="Times New Roman" w:hAnsi="Times New Roman" w:cs="Times New Roman"/>
                <w:sz w:val="24"/>
                <w:szCs w:val="24"/>
                <w:u w:val="single"/>
              </w:rPr>
            </w:pPr>
            <w:r w:rsidRPr="001F6F8C">
              <w:rPr>
                <w:rFonts w:ascii="Times New Roman" w:hAnsi="Times New Roman" w:cs="Times New Roman"/>
                <w:sz w:val="20"/>
                <w:szCs w:val="20"/>
              </w:rPr>
              <w:t>(дата підписання)</w:t>
            </w:r>
            <w:r>
              <w:rPr>
                <w:rFonts w:ascii="Times New Roman" w:hAnsi="Times New Roman" w:cs="Times New Roman"/>
                <w:sz w:val="20"/>
                <w:szCs w:val="20"/>
              </w:rPr>
              <w:t xml:space="preserve">         </w:t>
            </w:r>
            <w:r w:rsidRPr="001F6F8C">
              <w:rPr>
                <w:rFonts w:ascii="Times New Roman" w:hAnsi="Times New Roman" w:cs="Times New Roman"/>
                <w:sz w:val="20"/>
                <w:szCs w:val="20"/>
              </w:rPr>
              <w:t>(особистий підпис, М.П.)</w:t>
            </w:r>
          </w:p>
        </w:tc>
        <w:tc>
          <w:tcPr>
            <w:tcW w:w="4815" w:type="dxa"/>
          </w:tcPr>
          <w:p w14:paraId="5EF3BDF7" w14:textId="6F4858D4" w:rsidR="00353527" w:rsidRDefault="00353527" w:rsidP="006D7167">
            <w:pPr>
              <w:jc w:val="both"/>
              <w:rPr>
                <w:rFonts w:ascii="Times New Roman" w:hAnsi="Times New Roman" w:cs="Times New Roman"/>
                <w:sz w:val="20"/>
                <w:szCs w:val="20"/>
              </w:rPr>
            </w:pPr>
            <w:r w:rsidRPr="001F6F8C">
              <w:rPr>
                <w:rFonts w:ascii="Times New Roman" w:hAnsi="Times New Roman" w:cs="Times New Roman"/>
                <w:sz w:val="20"/>
                <w:szCs w:val="20"/>
              </w:rPr>
              <w:t>(П.І.Б. представника/назва Споживача)</w:t>
            </w:r>
          </w:p>
        </w:tc>
      </w:tr>
    </w:tbl>
    <w:p w14:paraId="41C94CFD" w14:textId="314EFCDE" w:rsidR="006E7240" w:rsidRPr="007B6D70" w:rsidRDefault="006E7240" w:rsidP="006D7167">
      <w:pPr>
        <w:ind w:firstLine="567"/>
        <w:jc w:val="both"/>
        <w:rPr>
          <w:rFonts w:ascii="Times New Roman" w:hAnsi="Times New Roman" w:cs="Times New Roman"/>
          <w:color w:val="FF0000"/>
          <w:sz w:val="24"/>
          <w:szCs w:val="24"/>
        </w:rPr>
      </w:pPr>
    </w:p>
    <w:sectPr w:rsidR="006E7240" w:rsidRPr="007B6D7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41D6E" w14:textId="77777777" w:rsidR="00CB4665" w:rsidRDefault="00CB4665" w:rsidP="001019A8">
      <w:pPr>
        <w:spacing w:after="0" w:line="240" w:lineRule="auto"/>
      </w:pPr>
      <w:r>
        <w:separator/>
      </w:r>
    </w:p>
  </w:endnote>
  <w:endnote w:type="continuationSeparator" w:id="0">
    <w:p w14:paraId="2FCA7382" w14:textId="77777777" w:rsidR="00CB4665" w:rsidRDefault="00CB4665" w:rsidP="001019A8">
      <w:pPr>
        <w:spacing w:after="0" w:line="240" w:lineRule="auto"/>
      </w:pPr>
      <w:r>
        <w:continuationSeparator/>
      </w:r>
    </w:p>
  </w:endnote>
  <w:endnote w:type="continuationNotice" w:id="1">
    <w:p w14:paraId="0B059856" w14:textId="77777777" w:rsidR="00CB4665" w:rsidRDefault="00CB4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462635"/>
      <w:docPartObj>
        <w:docPartGallery w:val="Page Numbers (Bottom of Page)"/>
        <w:docPartUnique/>
      </w:docPartObj>
    </w:sdtPr>
    <w:sdtContent>
      <w:p w14:paraId="58523CDB" w14:textId="4CB5A861" w:rsidR="001019A8" w:rsidRDefault="00B438E4">
        <w:pPr>
          <w:pStyle w:val="af"/>
          <w:jc w:val="right"/>
        </w:pPr>
        <w:r>
          <w:rPr>
            <w:noProof/>
          </w:rPr>
          <w:drawing>
            <wp:inline distT="0" distB="0" distL="0" distR="0" wp14:anchorId="70095F03" wp14:editId="48165CEE">
              <wp:extent cx="1057275" cy="497046"/>
              <wp:effectExtent l="0" t="0" r="0" b="0"/>
              <wp:docPr id="1383797765" name="Рисунок 1" descr="Изображение выглядит как текст, Шрифт, логотип,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97765" name="Рисунок 1" descr="Изображение выглядит как текст, Шрифт, логотип, Графика&#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069799" cy="502934"/>
                      </a:xfrm>
                      <a:prstGeom prst="rect">
                        <a:avLst/>
                      </a:prstGeom>
                    </pic:spPr>
                  </pic:pic>
                </a:graphicData>
              </a:graphic>
            </wp:inline>
          </w:drawing>
        </w:r>
        <w:r w:rsidR="001019A8">
          <w:fldChar w:fldCharType="begin"/>
        </w:r>
        <w:r w:rsidR="001019A8">
          <w:instrText>PAGE   \* MERGEFORMAT</w:instrText>
        </w:r>
        <w:r w:rsidR="001019A8">
          <w:fldChar w:fldCharType="separate"/>
        </w:r>
        <w:r w:rsidR="001019A8">
          <w:t>2</w:t>
        </w:r>
        <w:r w:rsidR="001019A8">
          <w:fldChar w:fldCharType="end"/>
        </w:r>
      </w:p>
    </w:sdtContent>
  </w:sdt>
  <w:p w14:paraId="5AAF3CC3" w14:textId="77777777" w:rsidR="001019A8" w:rsidRDefault="001019A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ED30" w14:textId="77777777" w:rsidR="00CB4665" w:rsidRDefault="00CB4665" w:rsidP="001019A8">
      <w:pPr>
        <w:spacing w:after="0" w:line="240" w:lineRule="auto"/>
      </w:pPr>
      <w:r>
        <w:separator/>
      </w:r>
    </w:p>
  </w:footnote>
  <w:footnote w:type="continuationSeparator" w:id="0">
    <w:p w14:paraId="3CADB70B" w14:textId="77777777" w:rsidR="00CB4665" w:rsidRDefault="00CB4665" w:rsidP="001019A8">
      <w:pPr>
        <w:spacing w:after="0" w:line="240" w:lineRule="auto"/>
      </w:pPr>
      <w:r>
        <w:continuationSeparator/>
      </w:r>
    </w:p>
  </w:footnote>
  <w:footnote w:type="continuationNotice" w:id="1">
    <w:p w14:paraId="055483B3" w14:textId="77777777" w:rsidR="00CB4665" w:rsidRDefault="00CB46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92843"/>
    <w:multiLevelType w:val="hybridMultilevel"/>
    <w:tmpl w:val="C9AA153A"/>
    <w:lvl w:ilvl="0" w:tplc="CCDEF022">
      <w:start w:val="1"/>
      <w:numFmt w:val="bullet"/>
      <w:lvlText w:val="-"/>
      <w:lvlJc w:val="left"/>
      <w:pPr>
        <w:ind w:left="720" w:hanging="360"/>
      </w:pPr>
      <w:rPr>
        <w:rFonts w:ascii="Calibri" w:hAnsi="Calibri" w:hint="default"/>
      </w:rPr>
    </w:lvl>
    <w:lvl w:ilvl="1" w:tplc="0890D09A">
      <w:start w:val="1"/>
      <w:numFmt w:val="bullet"/>
      <w:lvlText w:val="o"/>
      <w:lvlJc w:val="left"/>
      <w:pPr>
        <w:ind w:left="1440" w:hanging="360"/>
      </w:pPr>
      <w:rPr>
        <w:rFonts w:ascii="Courier New" w:hAnsi="Courier New" w:hint="default"/>
      </w:rPr>
    </w:lvl>
    <w:lvl w:ilvl="2" w:tplc="4688263A">
      <w:start w:val="1"/>
      <w:numFmt w:val="bullet"/>
      <w:lvlText w:val=""/>
      <w:lvlJc w:val="left"/>
      <w:pPr>
        <w:ind w:left="2160" w:hanging="360"/>
      </w:pPr>
      <w:rPr>
        <w:rFonts w:ascii="Wingdings" w:hAnsi="Wingdings" w:hint="default"/>
      </w:rPr>
    </w:lvl>
    <w:lvl w:ilvl="3" w:tplc="F4E8E814">
      <w:start w:val="1"/>
      <w:numFmt w:val="bullet"/>
      <w:lvlText w:val=""/>
      <w:lvlJc w:val="left"/>
      <w:pPr>
        <w:ind w:left="2880" w:hanging="360"/>
      </w:pPr>
      <w:rPr>
        <w:rFonts w:ascii="Symbol" w:hAnsi="Symbol" w:hint="default"/>
      </w:rPr>
    </w:lvl>
    <w:lvl w:ilvl="4" w:tplc="D65E6DC2">
      <w:start w:val="1"/>
      <w:numFmt w:val="bullet"/>
      <w:lvlText w:val="o"/>
      <w:lvlJc w:val="left"/>
      <w:pPr>
        <w:ind w:left="3600" w:hanging="360"/>
      </w:pPr>
      <w:rPr>
        <w:rFonts w:ascii="Courier New" w:hAnsi="Courier New" w:hint="default"/>
      </w:rPr>
    </w:lvl>
    <w:lvl w:ilvl="5" w:tplc="4812280E">
      <w:start w:val="1"/>
      <w:numFmt w:val="bullet"/>
      <w:lvlText w:val=""/>
      <w:lvlJc w:val="left"/>
      <w:pPr>
        <w:ind w:left="4320" w:hanging="360"/>
      </w:pPr>
      <w:rPr>
        <w:rFonts w:ascii="Wingdings" w:hAnsi="Wingdings" w:hint="default"/>
      </w:rPr>
    </w:lvl>
    <w:lvl w:ilvl="6" w:tplc="EAA2F170">
      <w:start w:val="1"/>
      <w:numFmt w:val="bullet"/>
      <w:lvlText w:val=""/>
      <w:lvlJc w:val="left"/>
      <w:pPr>
        <w:ind w:left="5040" w:hanging="360"/>
      </w:pPr>
      <w:rPr>
        <w:rFonts w:ascii="Symbol" w:hAnsi="Symbol" w:hint="default"/>
      </w:rPr>
    </w:lvl>
    <w:lvl w:ilvl="7" w:tplc="EE5E3800">
      <w:start w:val="1"/>
      <w:numFmt w:val="bullet"/>
      <w:lvlText w:val="o"/>
      <w:lvlJc w:val="left"/>
      <w:pPr>
        <w:ind w:left="5760" w:hanging="360"/>
      </w:pPr>
      <w:rPr>
        <w:rFonts w:ascii="Courier New" w:hAnsi="Courier New" w:hint="default"/>
      </w:rPr>
    </w:lvl>
    <w:lvl w:ilvl="8" w:tplc="A95CC822">
      <w:start w:val="1"/>
      <w:numFmt w:val="bullet"/>
      <w:lvlText w:val=""/>
      <w:lvlJc w:val="left"/>
      <w:pPr>
        <w:ind w:left="6480" w:hanging="360"/>
      </w:pPr>
      <w:rPr>
        <w:rFonts w:ascii="Wingdings" w:hAnsi="Wingdings" w:hint="default"/>
      </w:rPr>
    </w:lvl>
  </w:abstractNum>
  <w:abstractNum w:abstractNumId="1" w15:restartNumberingAfterBreak="0">
    <w:nsid w:val="66E400F7"/>
    <w:multiLevelType w:val="hybridMultilevel"/>
    <w:tmpl w:val="F3BC0212"/>
    <w:lvl w:ilvl="0" w:tplc="BE7E8C52">
      <w:start w:val="1"/>
      <w:numFmt w:val="decimal"/>
      <w:lvlText w:val="%1)"/>
      <w:lvlJc w:val="left"/>
      <w:pPr>
        <w:ind w:left="1920" w:hanging="360"/>
      </w:pPr>
      <w:rPr>
        <w:rFonts w:ascii="Times New Roman" w:eastAsiaTheme="minorHAnsi"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num w:numId="1" w16cid:durableId="1952006320">
    <w:abstractNumId w:val="0"/>
  </w:num>
  <w:num w:numId="2" w16cid:durableId="32710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81"/>
    <w:rsid w:val="000073F1"/>
    <w:rsid w:val="00044224"/>
    <w:rsid w:val="00047B13"/>
    <w:rsid w:val="00057123"/>
    <w:rsid w:val="000736AF"/>
    <w:rsid w:val="00084EA9"/>
    <w:rsid w:val="00093A08"/>
    <w:rsid w:val="00095C5F"/>
    <w:rsid w:val="000A5138"/>
    <w:rsid w:val="000A55CC"/>
    <w:rsid w:val="000B26F4"/>
    <w:rsid w:val="000E5680"/>
    <w:rsid w:val="000E7C02"/>
    <w:rsid w:val="000F23F6"/>
    <w:rsid w:val="000F2BF6"/>
    <w:rsid w:val="001019A8"/>
    <w:rsid w:val="001031C9"/>
    <w:rsid w:val="00105C0A"/>
    <w:rsid w:val="001119E5"/>
    <w:rsid w:val="001237AD"/>
    <w:rsid w:val="001329BB"/>
    <w:rsid w:val="001475F4"/>
    <w:rsid w:val="001602B1"/>
    <w:rsid w:val="00162FBB"/>
    <w:rsid w:val="00163159"/>
    <w:rsid w:val="001962B9"/>
    <w:rsid w:val="001B163C"/>
    <w:rsid w:val="001C620A"/>
    <w:rsid w:val="001D1EF2"/>
    <w:rsid w:val="001D5702"/>
    <w:rsid w:val="001D75AC"/>
    <w:rsid w:val="001E0FFB"/>
    <w:rsid w:val="001E51AE"/>
    <w:rsid w:val="001F0DCC"/>
    <w:rsid w:val="001F6F8C"/>
    <w:rsid w:val="00206729"/>
    <w:rsid w:val="00206C6D"/>
    <w:rsid w:val="0023022C"/>
    <w:rsid w:val="00234E6D"/>
    <w:rsid w:val="00240397"/>
    <w:rsid w:val="00272711"/>
    <w:rsid w:val="002747F4"/>
    <w:rsid w:val="0028086F"/>
    <w:rsid w:val="00281F68"/>
    <w:rsid w:val="0028382A"/>
    <w:rsid w:val="002864D2"/>
    <w:rsid w:val="00292174"/>
    <w:rsid w:val="002A1078"/>
    <w:rsid w:val="002B3720"/>
    <w:rsid w:val="002F3A18"/>
    <w:rsid w:val="00324343"/>
    <w:rsid w:val="00335262"/>
    <w:rsid w:val="00340AE7"/>
    <w:rsid w:val="00345F6D"/>
    <w:rsid w:val="00353527"/>
    <w:rsid w:val="00354930"/>
    <w:rsid w:val="00364C5D"/>
    <w:rsid w:val="003A1C1B"/>
    <w:rsid w:val="003B4933"/>
    <w:rsid w:val="003C2EEB"/>
    <w:rsid w:val="003C7C10"/>
    <w:rsid w:val="003D037B"/>
    <w:rsid w:val="003D5993"/>
    <w:rsid w:val="003F26FD"/>
    <w:rsid w:val="003F46CD"/>
    <w:rsid w:val="0040077B"/>
    <w:rsid w:val="00411CBC"/>
    <w:rsid w:val="00424938"/>
    <w:rsid w:val="004371D4"/>
    <w:rsid w:val="00445188"/>
    <w:rsid w:val="00453B01"/>
    <w:rsid w:val="00475341"/>
    <w:rsid w:val="004811B6"/>
    <w:rsid w:val="004824DB"/>
    <w:rsid w:val="004A15D2"/>
    <w:rsid w:val="004B1BD0"/>
    <w:rsid w:val="004C3877"/>
    <w:rsid w:val="004D7762"/>
    <w:rsid w:val="004E6082"/>
    <w:rsid w:val="005134A9"/>
    <w:rsid w:val="005218FC"/>
    <w:rsid w:val="00530572"/>
    <w:rsid w:val="00534032"/>
    <w:rsid w:val="005352DD"/>
    <w:rsid w:val="00540E62"/>
    <w:rsid w:val="00570483"/>
    <w:rsid w:val="005A09D6"/>
    <w:rsid w:val="005F7820"/>
    <w:rsid w:val="00631902"/>
    <w:rsid w:val="006879D3"/>
    <w:rsid w:val="006A367B"/>
    <w:rsid w:val="006B7191"/>
    <w:rsid w:val="006C0E35"/>
    <w:rsid w:val="006C200C"/>
    <w:rsid w:val="006C6715"/>
    <w:rsid w:val="006D32AC"/>
    <w:rsid w:val="006D51A1"/>
    <w:rsid w:val="006D7167"/>
    <w:rsid w:val="006E34DC"/>
    <w:rsid w:val="006E7240"/>
    <w:rsid w:val="007222C0"/>
    <w:rsid w:val="00726E68"/>
    <w:rsid w:val="00726E90"/>
    <w:rsid w:val="007308F3"/>
    <w:rsid w:val="007365CF"/>
    <w:rsid w:val="00743B65"/>
    <w:rsid w:val="007476F3"/>
    <w:rsid w:val="00752E64"/>
    <w:rsid w:val="007647D6"/>
    <w:rsid w:val="007B317C"/>
    <w:rsid w:val="007B6D70"/>
    <w:rsid w:val="007E0EAF"/>
    <w:rsid w:val="007E5136"/>
    <w:rsid w:val="007F3C2B"/>
    <w:rsid w:val="00803341"/>
    <w:rsid w:val="0080417A"/>
    <w:rsid w:val="008178FD"/>
    <w:rsid w:val="00817B52"/>
    <w:rsid w:val="00820681"/>
    <w:rsid w:val="00832A78"/>
    <w:rsid w:val="00842F33"/>
    <w:rsid w:val="008474FA"/>
    <w:rsid w:val="008476DC"/>
    <w:rsid w:val="0084781B"/>
    <w:rsid w:val="008521CA"/>
    <w:rsid w:val="008A5AB9"/>
    <w:rsid w:val="008B61D7"/>
    <w:rsid w:val="008D09D0"/>
    <w:rsid w:val="00902DCF"/>
    <w:rsid w:val="00905DA7"/>
    <w:rsid w:val="00935F09"/>
    <w:rsid w:val="00961A69"/>
    <w:rsid w:val="00975AA6"/>
    <w:rsid w:val="00985556"/>
    <w:rsid w:val="009B381C"/>
    <w:rsid w:val="009B5BC4"/>
    <w:rsid w:val="009B7A7D"/>
    <w:rsid w:val="009E1B2A"/>
    <w:rsid w:val="009E3F6C"/>
    <w:rsid w:val="009E5072"/>
    <w:rsid w:val="00A13273"/>
    <w:rsid w:val="00A13F88"/>
    <w:rsid w:val="00A26EE9"/>
    <w:rsid w:val="00A36A43"/>
    <w:rsid w:val="00A54241"/>
    <w:rsid w:val="00A772F6"/>
    <w:rsid w:val="00A87A50"/>
    <w:rsid w:val="00A965D2"/>
    <w:rsid w:val="00A96A47"/>
    <w:rsid w:val="00AB6111"/>
    <w:rsid w:val="00AB6A0A"/>
    <w:rsid w:val="00AC6BEB"/>
    <w:rsid w:val="00AF0F38"/>
    <w:rsid w:val="00AF13BB"/>
    <w:rsid w:val="00B021EC"/>
    <w:rsid w:val="00B06199"/>
    <w:rsid w:val="00B11D02"/>
    <w:rsid w:val="00B211BF"/>
    <w:rsid w:val="00B34575"/>
    <w:rsid w:val="00B438E4"/>
    <w:rsid w:val="00B620D9"/>
    <w:rsid w:val="00B749CA"/>
    <w:rsid w:val="00B831F8"/>
    <w:rsid w:val="00B833E2"/>
    <w:rsid w:val="00B87D78"/>
    <w:rsid w:val="00BB4CD1"/>
    <w:rsid w:val="00BB7132"/>
    <w:rsid w:val="00BC20BE"/>
    <w:rsid w:val="00BD06D6"/>
    <w:rsid w:val="00BF4FF3"/>
    <w:rsid w:val="00C10BFE"/>
    <w:rsid w:val="00C1670F"/>
    <w:rsid w:val="00C233CF"/>
    <w:rsid w:val="00C23E30"/>
    <w:rsid w:val="00C44B6C"/>
    <w:rsid w:val="00C56981"/>
    <w:rsid w:val="00C64F1F"/>
    <w:rsid w:val="00C73C67"/>
    <w:rsid w:val="00C95CA8"/>
    <w:rsid w:val="00CB2966"/>
    <w:rsid w:val="00CB4665"/>
    <w:rsid w:val="00CBA4F3"/>
    <w:rsid w:val="00CC72EB"/>
    <w:rsid w:val="00CD02E6"/>
    <w:rsid w:val="00D46167"/>
    <w:rsid w:val="00D46686"/>
    <w:rsid w:val="00D555A3"/>
    <w:rsid w:val="00D56A83"/>
    <w:rsid w:val="00D56D24"/>
    <w:rsid w:val="00D61A28"/>
    <w:rsid w:val="00D62A7F"/>
    <w:rsid w:val="00D63710"/>
    <w:rsid w:val="00D63B4A"/>
    <w:rsid w:val="00D71AAB"/>
    <w:rsid w:val="00D76DF2"/>
    <w:rsid w:val="00D80FFB"/>
    <w:rsid w:val="00D83B51"/>
    <w:rsid w:val="00DB6F87"/>
    <w:rsid w:val="00DD3B9B"/>
    <w:rsid w:val="00E02BEE"/>
    <w:rsid w:val="00E0479F"/>
    <w:rsid w:val="00E3370C"/>
    <w:rsid w:val="00E75A7A"/>
    <w:rsid w:val="00E975BF"/>
    <w:rsid w:val="00EA3691"/>
    <w:rsid w:val="00EB99C1"/>
    <w:rsid w:val="00ED034A"/>
    <w:rsid w:val="00EF7AE4"/>
    <w:rsid w:val="00F05D08"/>
    <w:rsid w:val="00F092EC"/>
    <w:rsid w:val="00F10A03"/>
    <w:rsid w:val="00F2380E"/>
    <w:rsid w:val="00F24454"/>
    <w:rsid w:val="00F25005"/>
    <w:rsid w:val="00F35D71"/>
    <w:rsid w:val="00F3637E"/>
    <w:rsid w:val="00F76C47"/>
    <w:rsid w:val="00F77095"/>
    <w:rsid w:val="00F975D9"/>
    <w:rsid w:val="00FA3C34"/>
    <w:rsid w:val="00FB5157"/>
    <w:rsid w:val="00FF033C"/>
    <w:rsid w:val="00FF5149"/>
    <w:rsid w:val="023F638E"/>
    <w:rsid w:val="035FF01C"/>
    <w:rsid w:val="039D2956"/>
    <w:rsid w:val="039EEBB5"/>
    <w:rsid w:val="03A01DB3"/>
    <w:rsid w:val="0428AACB"/>
    <w:rsid w:val="087B7C5C"/>
    <w:rsid w:val="091715E5"/>
    <w:rsid w:val="09308C0D"/>
    <w:rsid w:val="09684CB7"/>
    <w:rsid w:val="099A8543"/>
    <w:rsid w:val="09DB4AE1"/>
    <w:rsid w:val="0AD5C05B"/>
    <w:rsid w:val="0CE2187A"/>
    <w:rsid w:val="0CF2FCE3"/>
    <w:rsid w:val="0DBA71D1"/>
    <w:rsid w:val="0DE96049"/>
    <w:rsid w:val="0E1C6F28"/>
    <w:rsid w:val="0E5C6B75"/>
    <w:rsid w:val="12853B38"/>
    <w:rsid w:val="129EF010"/>
    <w:rsid w:val="12BD198C"/>
    <w:rsid w:val="12FE7D3E"/>
    <w:rsid w:val="13473BC5"/>
    <w:rsid w:val="13E6C7F8"/>
    <w:rsid w:val="1546C0BC"/>
    <w:rsid w:val="16948C4B"/>
    <w:rsid w:val="18226863"/>
    <w:rsid w:val="18305CAC"/>
    <w:rsid w:val="18B68F99"/>
    <w:rsid w:val="19531166"/>
    <w:rsid w:val="1DA2CE52"/>
    <w:rsid w:val="1DC88696"/>
    <w:rsid w:val="1E8CEDCA"/>
    <w:rsid w:val="1F27D867"/>
    <w:rsid w:val="1F6C1CD8"/>
    <w:rsid w:val="1FBD811B"/>
    <w:rsid w:val="21B032BD"/>
    <w:rsid w:val="232D08D4"/>
    <w:rsid w:val="25465772"/>
    <w:rsid w:val="264ABDC4"/>
    <w:rsid w:val="26E5F111"/>
    <w:rsid w:val="26ECA569"/>
    <w:rsid w:val="28C58971"/>
    <w:rsid w:val="28D6565E"/>
    <w:rsid w:val="2B0AF03F"/>
    <w:rsid w:val="2B9FAE06"/>
    <w:rsid w:val="2C96D0E1"/>
    <w:rsid w:val="2D0D0A82"/>
    <w:rsid w:val="2D3AA54A"/>
    <w:rsid w:val="2DBE6A57"/>
    <w:rsid w:val="2E55CFA9"/>
    <w:rsid w:val="2F38B5C5"/>
    <w:rsid w:val="301B1CD0"/>
    <w:rsid w:val="31737242"/>
    <w:rsid w:val="31B57041"/>
    <w:rsid w:val="31BB4D66"/>
    <w:rsid w:val="327F2CE0"/>
    <w:rsid w:val="329BF7E1"/>
    <w:rsid w:val="332940CC"/>
    <w:rsid w:val="332E5D8B"/>
    <w:rsid w:val="33571DC7"/>
    <w:rsid w:val="33A1B6C9"/>
    <w:rsid w:val="3455D96A"/>
    <w:rsid w:val="354FBD2D"/>
    <w:rsid w:val="35E53E7E"/>
    <w:rsid w:val="388F3168"/>
    <w:rsid w:val="3964FDE0"/>
    <w:rsid w:val="3AD3D51F"/>
    <w:rsid w:val="3BC7A2C0"/>
    <w:rsid w:val="3DC84868"/>
    <w:rsid w:val="3E7BEE48"/>
    <w:rsid w:val="3E8BEF96"/>
    <w:rsid w:val="3F6EA988"/>
    <w:rsid w:val="409B9F84"/>
    <w:rsid w:val="4138B56C"/>
    <w:rsid w:val="418EF11F"/>
    <w:rsid w:val="421159C6"/>
    <w:rsid w:val="42193FB8"/>
    <w:rsid w:val="427E2ECB"/>
    <w:rsid w:val="4341C8BE"/>
    <w:rsid w:val="4378EDBD"/>
    <w:rsid w:val="44152D66"/>
    <w:rsid w:val="4429A850"/>
    <w:rsid w:val="4494C9C5"/>
    <w:rsid w:val="459B382A"/>
    <w:rsid w:val="4794C5DD"/>
    <w:rsid w:val="47B97FC5"/>
    <w:rsid w:val="481D534F"/>
    <w:rsid w:val="492AEDA7"/>
    <w:rsid w:val="49B494BB"/>
    <w:rsid w:val="4A7554E2"/>
    <w:rsid w:val="4A9E45C0"/>
    <w:rsid w:val="4B998E30"/>
    <w:rsid w:val="4C002995"/>
    <w:rsid w:val="4D75FFE4"/>
    <w:rsid w:val="4E640245"/>
    <w:rsid w:val="4F7A03D0"/>
    <w:rsid w:val="50D09803"/>
    <w:rsid w:val="5197D9C9"/>
    <w:rsid w:val="51D2C202"/>
    <w:rsid w:val="51E264EF"/>
    <w:rsid w:val="527835DB"/>
    <w:rsid w:val="52E7E35B"/>
    <w:rsid w:val="5476559B"/>
    <w:rsid w:val="55D3E0DD"/>
    <w:rsid w:val="56538355"/>
    <w:rsid w:val="570E6DC4"/>
    <w:rsid w:val="5734729D"/>
    <w:rsid w:val="576B5E20"/>
    <w:rsid w:val="58071B4D"/>
    <w:rsid w:val="58276D69"/>
    <w:rsid w:val="588C158A"/>
    <w:rsid w:val="595A3919"/>
    <w:rsid w:val="59A0D7C5"/>
    <w:rsid w:val="5A876B0D"/>
    <w:rsid w:val="5AD81695"/>
    <w:rsid w:val="5C29FA04"/>
    <w:rsid w:val="5CD69DF9"/>
    <w:rsid w:val="5CEC6304"/>
    <w:rsid w:val="5E05CA7B"/>
    <w:rsid w:val="60790CEF"/>
    <w:rsid w:val="61F80659"/>
    <w:rsid w:val="633FDA9B"/>
    <w:rsid w:val="634FA58E"/>
    <w:rsid w:val="63B0ADB1"/>
    <w:rsid w:val="64350BE9"/>
    <w:rsid w:val="64EB9670"/>
    <w:rsid w:val="654C7E12"/>
    <w:rsid w:val="65BD9DA2"/>
    <w:rsid w:val="65D0DC4A"/>
    <w:rsid w:val="660277EB"/>
    <w:rsid w:val="6645F93E"/>
    <w:rsid w:val="66B5BB9F"/>
    <w:rsid w:val="6A6286EA"/>
    <w:rsid w:val="6A97734C"/>
    <w:rsid w:val="6B981060"/>
    <w:rsid w:val="6BB9A12E"/>
    <w:rsid w:val="6C3343AD"/>
    <w:rsid w:val="6DCB4AD0"/>
    <w:rsid w:val="6E135AE9"/>
    <w:rsid w:val="6F3790F9"/>
    <w:rsid w:val="719C0570"/>
    <w:rsid w:val="7232EEA0"/>
    <w:rsid w:val="72FE9D04"/>
    <w:rsid w:val="73F1D9BF"/>
    <w:rsid w:val="751E15EE"/>
    <w:rsid w:val="77065FC3"/>
    <w:rsid w:val="77110ED5"/>
    <w:rsid w:val="7748176E"/>
    <w:rsid w:val="77A7FE54"/>
    <w:rsid w:val="77D90CD3"/>
    <w:rsid w:val="78996375"/>
    <w:rsid w:val="78B9B957"/>
    <w:rsid w:val="78F0480D"/>
    <w:rsid w:val="79C28AF7"/>
    <w:rsid w:val="79EB8AE9"/>
    <w:rsid w:val="7A90A57B"/>
    <w:rsid w:val="7BD9D0E6"/>
    <w:rsid w:val="7D01FDC1"/>
    <w:rsid w:val="7E3F03F6"/>
    <w:rsid w:val="7EBE8F70"/>
    <w:rsid w:val="7F384922"/>
    <w:rsid w:val="7F4F8A4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4DE"/>
  <w15:chartTrackingRefBased/>
  <w15:docId w15:val="{CDCB09CD-766F-411C-99DD-C0A5B396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6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6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6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69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69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69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69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6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6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6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6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6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6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C56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6981"/>
    <w:rPr>
      <w:rFonts w:eastAsiaTheme="majorEastAsia" w:cstheme="majorBidi"/>
      <w:color w:val="272727" w:themeColor="text1" w:themeTint="D8"/>
    </w:rPr>
  </w:style>
  <w:style w:type="paragraph" w:styleId="a3">
    <w:name w:val="Title"/>
    <w:basedOn w:val="a"/>
    <w:next w:val="a"/>
    <w:link w:val="a4"/>
    <w:uiPriority w:val="10"/>
    <w:qFormat/>
    <w:rsid w:val="00C5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6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6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6981"/>
    <w:pPr>
      <w:spacing w:before="160"/>
      <w:jc w:val="center"/>
    </w:pPr>
    <w:rPr>
      <w:i/>
      <w:iCs/>
      <w:color w:val="404040" w:themeColor="text1" w:themeTint="BF"/>
    </w:rPr>
  </w:style>
  <w:style w:type="character" w:customStyle="1" w:styleId="22">
    <w:name w:val="Цитата 2 Знак"/>
    <w:basedOn w:val="a0"/>
    <w:link w:val="21"/>
    <w:uiPriority w:val="29"/>
    <w:rsid w:val="00C56981"/>
    <w:rPr>
      <w:i/>
      <w:iCs/>
      <w:color w:val="404040" w:themeColor="text1" w:themeTint="BF"/>
    </w:rPr>
  </w:style>
  <w:style w:type="paragraph" w:styleId="a7">
    <w:name w:val="List Paragraph"/>
    <w:basedOn w:val="a"/>
    <w:uiPriority w:val="34"/>
    <w:qFormat/>
    <w:rsid w:val="00C56981"/>
    <w:pPr>
      <w:ind w:left="720"/>
      <w:contextualSpacing/>
    </w:pPr>
  </w:style>
  <w:style w:type="character" w:styleId="a8">
    <w:name w:val="Intense Emphasis"/>
    <w:basedOn w:val="a0"/>
    <w:uiPriority w:val="21"/>
    <w:qFormat/>
    <w:rsid w:val="00C56981"/>
    <w:rPr>
      <w:i/>
      <w:iCs/>
      <w:color w:val="0F4761" w:themeColor="accent1" w:themeShade="BF"/>
    </w:rPr>
  </w:style>
  <w:style w:type="paragraph" w:styleId="a9">
    <w:name w:val="Intense Quote"/>
    <w:basedOn w:val="a"/>
    <w:next w:val="a"/>
    <w:link w:val="aa"/>
    <w:uiPriority w:val="30"/>
    <w:qFormat/>
    <w:rsid w:val="00C5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6981"/>
    <w:rPr>
      <w:i/>
      <w:iCs/>
      <w:color w:val="0F4761" w:themeColor="accent1" w:themeShade="BF"/>
    </w:rPr>
  </w:style>
  <w:style w:type="character" w:styleId="ab">
    <w:name w:val="Intense Reference"/>
    <w:basedOn w:val="a0"/>
    <w:uiPriority w:val="32"/>
    <w:qFormat/>
    <w:rsid w:val="00C56981"/>
    <w:rPr>
      <w:b/>
      <w:bCs/>
      <w:smallCaps/>
      <w:color w:val="0F4761" w:themeColor="accent1" w:themeShade="BF"/>
      <w:spacing w:val="5"/>
    </w:rPr>
  </w:style>
  <w:style w:type="table" w:styleId="ac">
    <w:name w:val="Table Grid"/>
    <w:basedOn w:val="a1"/>
    <w:uiPriority w:val="39"/>
    <w:rsid w:val="007F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019A8"/>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1019A8"/>
  </w:style>
  <w:style w:type="paragraph" w:styleId="af">
    <w:name w:val="footer"/>
    <w:basedOn w:val="a"/>
    <w:link w:val="af0"/>
    <w:uiPriority w:val="99"/>
    <w:unhideWhenUsed/>
    <w:rsid w:val="001019A8"/>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1019A8"/>
  </w:style>
  <w:style w:type="character" w:styleId="af1">
    <w:name w:val="annotation reference"/>
    <w:basedOn w:val="a0"/>
    <w:uiPriority w:val="99"/>
    <w:semiHidden/>
    <w:unhideWhenUsed/>
    <w:rsid w:val="00093A08"/>
    <w:rPr>
      <w:sz w:val="16"/>
      <w:szCs w:val="16"/>
    </w:rPr>
  </w:style>
  <w:style w:type="paragraph" w:styleId="af2">
    <w:name w:val="annotation text"/>
    <w:basedOn w:val="a"/>
    <w:link w:val="af3"/>
    <w:uiPriority w:val="99"/>
    <w:unhideWhenUsed/>
    <w:rsid w:val="00093A08"/>
    <w:pPr>
      <w:spacing w:line="240" w:lineRule="auto"/>
    </w:pPr>
    <w:rPr>
      <w:sz w:val="20"/>
      <w:szCs w:val="20"/>
    </w:rPr>
  </w:style>
  <w:style w:type="character" w:customStyle="1" w:styleId="af3">
    <w:name w:val="Текст примечания Знак"/>
    <w:basedOn w:val="a0"/>
    <w:link w:val="af2"/>
    <w:uiPriority w:val="99"/>
    <w:rsid w:val="00093A08"/>
    <w:rPr>
      <w:sz w:val="20"/>
      <w:szCs w:val="20"/>
    </w:rPr>
  </w:style>
  <w:style w:type="paragraph" w:styleId="af4">
    <w:name w:val="annotation subject"/>
    <w:basedOn w:val="af2"/>
    <w:next w:val="af2"/>
    <w:link w:val="af5"/>
    <w:uiPriority w:val="99"/>
    <w:semiHidden/>
    <w:unhideWhenUsed/>
    <w:rsid w:val="00093A08"/>
    <w:rPr>
      <w:b/>
      <w:bCs/>
    </w:rPr>
  </w:style>
  <w:style w:type="character" w:customStyle="1" w:styleId="af5">
    <w:name w:val="Тема примечания Знак"/>
    <w:basedOn w:val="af3"/>
    <w:link w:val="af4"/>
    <w:uiPriority w:val="99"/>
    <w:semiHidden/>
    <w:rsid w:val="00093A08"/>
    <w:rPr>
      <w:b/>
      <w:bCs/>
      <w:sz w:val="20"/>
      <w:szCs w:val="20"/>
    </w:rPr>
  </w:style>
  <w:style w:type="character" w:styleId="af6">
    <w:name w:val="Hyperlink"/>
    <w:basedOn w:val="a0"/>
    <w:uiPriority w:val="99"/>
    <w:unhideWhenUsed/>
    <w:rsid w:val="00F3637E"/>
    <w:rPr>
      <w:color w:val="467886" w:themeColor="hyperlink"/>
      <w:u w:val="single"/>
    </w:rPr>
  </w:style>
  <w:style w:type="character" w:styleId="af7">
    <w:name w:val="Unresolved Mention"/>
    <w:basedOn w:val="a0"/>
    <w:uiPriority w:val="99"/>
    <w:semiHidden/>
    <w:unhideWhenUsed/>
    <w:rsid w:val="00F3637E"/>
    <w:rPr>
      <w:color w:val="605E5C"/>
      <w:shd w:val="clear" w:color="auto" w:fill="E1DFDD"/>
    </w:rPr>
  </w:style>
  <w:style w:type="paragraph" w:styleId="af8">
    <w:name w:val="Revision"/>
    <w:hidden/>
    <w:uiPriority w:val="99"/>
    <w:semiHidden/>
    <w:rsid w:val="00985556"/>
    <w:pPr>
      <w:spacing w:after="0" w:line="240" w:lineRule="auto"/>
    </w:pPr>
  </w:style>
  <w:style w:type="character" w:customStyle="1" w:styleId="normaltextrun">
    <w:name w:val="normaltextrun"/>
    <w:basedOn w:val="a0"/>
    <w:rsid w:val="00E7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685DE1E76DECAD4B9BD125C387EEC2A1" ma:contentTypeVersion="18" ma:contentTypeDescription="Створення нового документа." ma:contentTypeScope="" ma:versionID="63be14812f18a272e397856c74382474">
  <xsd:schema xmlns:xsd="http://www.w3.org/2001/XMLSchema" xmlns:xs="http://www.w3.org/2001/XMLSchema" xmlns:p="http://schemas.microsoft.com/office/2006/metadata/properties" xmlns:ns2="b1cce767-1e90-4450-b2bc-7fd24b53b49a" xmlns:ns3="9a06ed11-974b-4a1b-949f-a1c780504886" targetNamespace="http://schemas.microsoft.com/office/2006/metadata/properties" ma:root="true" ma:fieldsID="a4090682eef797fd08f643d4caf36723" ns2:_="" ns3:_="">
    <xsd:import namespace="b1cce767-1e90-4450-b2bc-7fd24b53b49a"/>
    <xsd:import namespace="9a06ed11-974b-4a1b-949f-a1c78050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ce767-1e90-4450-b2bc-7fd24b53b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a60a69a8-ca30-4010-8fb6-df1ea6cc7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6ed11-974b-4a1b-949f-a1c780504886"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e4aa2c6e-3c12-4886-9c1a-f791f1a7a269}" ma:internalName="TaxCatchAll" ma:showField="CatchAllData" ma:web="9a06ed11-974b-4a1b-949f-a1c78050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cce767-1e90-4450-b2bc-7fd24b53b49a">
      <Terms xmlns="http://schemas.microsoft.com/office/infopath/2007/PartnerControls"/>
    </lcf76f155ced4ddcb4097134ff3c332f>
    <TaxCatchAll xmlns="9a06ed11-974b-4a1b-949f-a1c780504886" xsi:nil="true"/>
  </documentManagement>
</p:properties>
</file>

<file path=customXml/itemProps1.xml><?xml version="1.0" encoding="utf-8"?>
<ds:datastoreItem xmlns:ds="http://schemas.openxmlformats.org/officeDocument/2006/customXml" ds:itemID="{E51CE042-0459-42A5-9B47-F958CE9D0821}">
  <ds:schemaRefs>
    <ds:schemaRef ds:uri="http://schemas.openxmlformats.org/officeDocument/2006/bibliography"/>
  </ds:schemaRefs>
</ds:datastoreItem>
</file>

<file path=customXml/itemProps2.xml><?xml version="1.0" encoding="utf-8"?>
<ds:datastoreItem xmlns:ds="http://schemas.openxmlformats.org/officeDocument/2006/customXml" ds:itemID="{647A1AAD-9285-4995-9D5B-80EAAD34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ce767-1e90-4450-b2bc-7fd24b53b49a"/>
    <ds:schemaRef ds:uri="9a06ed11-974b-4a1b-949f-a1c78050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6DDF7-31EA-49E2-A2E1-325928F50571}">
  <ds:schemaRefs>
    <ds:schemaRef ds:uri="http://schemas.microsoft.com/sharepoint/v3/contenttype/forms"/>
  </ds:schemaRefs>
</ds:datastoreItem>
</file>

<file path=customXml/itemProps4.xml><?xml version="1.0" encoding="utf-8"?>
<ds:datastoreItem xmlns:ds="http://schemas.openxmlformats.org/officeDocument/2006/customXml" ds:itemID="{59D98E2C-D5E7-48AC-AAF1-206E4455EF88}">
  <ds:schemaRefs>
    <ds:schemaRef ds:uri="http://schemas.microsoft.com/office/2006/metadata/properties"/>
    <ds:schemaRef ds:uri="http://schemas.microsoft.com/office/infopath/2007/PartnerControls"/>
    <ds:schemaRef ds:uri="b1cce767-1e90-4450-b2bc-7fd24b53b49a"/>
    <ds:schemaRef ds:uri="9a06ed11-974b-4a1b-949f-a1c780504886"/>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8180</Words>
  <Characters>4664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 Фролов</dc:creator>
  <cp:keywords/>
  <dc:description/>
  <cp:lastModifiedBy>Рева Ірина Михайлівна</cp:lastModifiedBy>
  <cp:revision>7</cp:revision>
  <dcterms:created xsi:type="dcterms:W3CDTF">2024-04-04T07:53:00Z</dcterms:created>
  <dcterms:modified xsi:type="dcterms:W3CDTF">2024-05-06T12:27:00Z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0x010100685DE1E76DECAD4B9BD125C387EEC2A1</vt:lpwstr>
  </property>
</Properties>
</file>